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DF" w:rsidRDefault="004C5CDF">
      <w:pPr>
        <w:pStyle w:val="BodyText"/>
        <w:spacing w:before="10"/>
        <w:rPr>
          <w:sz w:val="10"/>
        </w:rPr>
      </w:pPr>
    </w:p>
    <w:p w:rsidR="004C5CDF" w:rsidRPr="00734449" w:rsidRDefault="00F26B56" w:rsidP="00734449">
      <w:pPr>
        <w:pStyle w:val="Heading1"/>
        <w:ind w:left="0"/>
        <w:jc w:val="center"/>
        <w:rPr>
          <w:u w:val="none"/>
        </w:rPr>
      </w:pPr>
      <w:r w:rsidRPr="00734449">
        <w:rPr>
          <w:u w:val="none"/>
        </w:rPr>
        <w:t>POSITIVE DECLARATION</w:t>
      </w:r>
    </w:p>
    <w:p w:rsidR="004C5CDF" w:rsidRDefault="004C5CDF">
      <w:pPr>
        <w:pStyle w:val="BodyText"/>
        <w:spacing w:before="11"/>
        <w:rPr>
          <w:b/>
          <w:sz w:val="23"/>
        </w:rPr>
      </w:pPr>
    </w:p>
    <w:p w:rsidR="00734449" w:rsidRDefault="00F26B56" w:rsidP="00734449">
      <w:pPr>
        <w:pStyle w:val="Heading2"/>
        <w:jc w:val="center"/>
      </w:pPr>
      <w:r>
        <w:t>NOTICE OF INTENT TO PREPARE</w:t>
      </w:r>
    </w:p>
    <w:p w:rsidR="004C5CDF" w:rsidRDefault="00F26B56" w:rsidP="00734449">
      <w:pPr>
        <w:pStyle w:val="Heading2"/>
        <w:jc w:val="center"/>
        <w:rPr>
          <w:b w:val="0"/>
        </w:rPr>
      </w:pPr>
      <w:r>
        <w:t>DRAFT ENVIRONMENTAL IMPACT</w:t>
      </w:r>
      <w:r>
        <w:rPr>
          <w:spacing w:val="-27"/>
        </w:rPr>
        <w:t xml:space="preserve"> </w:t>
      </w:r>
      <w:r>
        <w:t>STATEMENT</w:t>
      </w:r>
    </w:p>
    <w:p w:rsidR="004C5CDF" w:rsidRDefault="004C5CDF" w:rsidP="00734449">
      <w:pPr>
        <w:pStyle w:val="BodyText"/>
        <w:jc w:val="center"/>
        <w:rPr>
          <w:b/>
        </w:rPr>
      </w:pPr>
    </w:p>
    <w:tbl>
      <w:tblPr>
        <w:tblStyle w:val="TableGrid"/>
        <w:tblW w:w="0" w:type="auto"/>
        <w:tblLayout w:type="fixed"/>
        <w:tblLook w:val="01E0" w:firstRow="1" w:lastRow="1" w:firstColumn="1" w:lastColumn="1" w:noHBand="0" w:noVBand="0"/>
        <w:tblCaption w:val="General Info Table"/>
        <w:tblDescription w:val="Table that includes project and lead agency addresses"/>
      </w:tblPr>
      <w:tblGrid>
        <w:gridCol w:w="4248"/>
        <w:gridCol w:w="5328"/>
      </w:tblGrid>
      <w:tr w:rsidR="004C5CDF" w:rsidTr="00734449">
        <w:trPr>
          <w:trHeight w:hRule="exact" w:val="284"/>
          <w:tblHeader/>
        </w:trPr>
        <w:tc>
          <w:tcPr>
            <w:tcW w:w="4248" w:type="dxa"/>
            <w:tcBorders>
              <w:bottom w:val="nil"/>
            </w:tcBorders>
          </w:tcPr>
          <w:p w:rsidR="004C5CDF" w:rsidRDefault="00F26B56">
            <w:pPr>
              <w:pStyle w:val="TableParagraph"/>
              <w:spacing w:line="275" w:lineRule="exact"/>
              <w:rPr>
                <w:b/>
                <w:sz w:val="24"/>
              </w:rPr>
            </w:pPr>
            <w:r>
              <w:rPr>
                <w:b/>
                <w:sz w:val="24"/>
                <w:u w:val="thick"/>
              </w:rPr>
              <w:t>PROJECT</w:t>
            </w:r>
            <w:r>
              <w:rPr>
                <w:b/>
                <w:sz w:val="24"/>
              </w:rPr>
              <w:t>:</w:t>
            </w:r>
          </w:p>
        </w:tc>
        <w:tc>
          <w:tcPr>
            <w:tcW w:w="5328" w:type="dxa"/>
            <w:tcBorders>
              <w:bottom w:val="nil"/>
            </w:tcBorders>
          </w:tcPr>
          <w:p w:rsidR="004C5CDF" w:rsidRDefault="00F26B56">
            <w:pPr>
              <w:pStyle w:val="TableParagraph"/>
              <w:spacing w:line="275" w:lineRule="exact"/>
              <w:rPr>
                <w:b/>
                <w:sz w:val="24"/>
              </w:rPr>
            </w:pPr>
            <w:r>
              <w:rPr>
                <w:b/>
                <w:sz w:val="24"/>
                <w:u w:val="thick"/>
              </w:rPr>
              <w:t>LEAD AGENCY</w:t>
            </w:r>
            <w:r>
              <w:rPr>
                <w:b/>
                <w:sz w:val="24"/>
              </w:rPr>
              <w:t>:</w:t>
            </w:r>
          </w:p>
        </w:tc>
      </w:tr>
      <w:tr w:rsidR="004C5CDF" w:rsidTr="00734449">
        <w:trPr>
          <w:trHeight w:hRule="exact" w:val="275"/>
        </w:trPr>
        <w:tc>
          <w:tcPr>
            <w:tcW w:w="4248" w:type="dxa"/>
            <w:tcBorders>
              <w:top w:val="nil"/>
              <w:bottom w:val="nil"/>
            </w:tcBorders>
          </w:tcPr>
          <w:p w:rsidR="004C5CDF" w:rsidRDefault="00F26B56">
            <w:pPr>
              <w:pStyle w:val="TableParagraph"/>
              <w:spacing w:line="270" w:lineRule="exact"/>
              <w:rPr>
                <w:sz w:val="24"/>
              </w:rPr>
            </w:pPr>
            <w:r>
              <w:rPr>
                <w:sz w:val="24"/>
              </w:rPr>
              <w:t>80 Flatbush, Brooklyn</w:t>
            </w:r>
          </w:p>
        </w:tc>
        <w:tc>
          <w:tcPr>
            <w:tcW w:w="5328" w:type="dxa"/>
            <w:tcBorders>
              <w:top w:val="nil"/>
              <w:bottom w:val="nil"/>
            </w:tcBorders>
          </w:tcPr>
          <w:p w:rsidR="004C5CDF" w:rsidRDefault="00F26B56">
            <w:pPr>
              <w:pStyle w:val="TableParagraph"/>
              <w:spacing w:line="270" w:lineRule="exact"/>
              <w:rPr>
                <w:sz w:val="24"/>
              </w:rPr>
            </w:pPr>
            <w:r>
              <w:rPr>
                <w:sz w:val="24"/>
              </w:rPr>
              <w:t>NYC Educational Construction Fund</w:t>
            </w:r>
          </w:p>
        </w:tc>
      </w:tr>
      <w:tr w:rsidR="004C5CDF" w:rsidTr="00734449">
        <w:trPr>
          <w:trHeight w:hRule="exact" w:val="276"/>
        </w:trPr>
        <w:tc>
          <w:tcPr>
            <w:tcW w:w="4248" w:type="dxa"/>
            <w:tcBorders>
              <w:top w:val="nil"/>
              <w:bottom w:val="nil"/>
            </w:tcBorders>
          </w:tcPr>
          <w:p w:rsidR="004C5CDF" w:rsidRDefault="00F26B56">
            <w:pPr>
              <w:pStyle w:val="TableParagraph"/>
              <w:rPr>
                <w:sz w:val="24"/>
              </w:rPr>
            </w:pPr>
            <w:r>
              <w:rPr>
                <w:sz w:val="24"/>
              </w:rPr>
              <w:t>Block 174, Lots 1, 9, 13, 18, 23, and 24</w:t>
            </w:r>
          </w:p>
        </w:tc>
        <w:tc>
          <w:tcPr>
            <w:tcW w:w="5328" w:type="dxa"/>
            <w:tcBorders>
              <w:top w:val="nil"/>
              <w:bottom w:val="nil"/>
            </w:tcBorders>
          </w:tcPr>
          <w:p w:rsidR="004C5CDF" w:rsidRDefault="00F26B56">
            <w:pPr>
              <w:pStyle w:val="TableParagraph"/>
              <w:rPr>
                <w:sz w:val="24"/>
              </w:rPr>
            </w:pPr>
            <w:r>
              <w:rPr>
                <w:sz w:val="24"/>
              </w:rPr>
              <w:t>30-30 Thomson Avenue, 4th Floor</w:t>
            </w:r>
          </w:p>
        </w:tc>
      </w:tr>
      <w:tr w:rsidR="004C5CDF" w:rsidTr="00734449">
        <w:trPr>
          <w:trHeight w:hRule="exact" w:val="389"/>
        </w:trPr>
        <w:tc>
          <w:tcPr>
            <w:tcW w:w="4248" w:type="dxa"/>
            <w:tcBorders>
              <w:top w:val="nil"/>
            </w:tcBorders>
          </w:tcPr>
          <w:p w:rsidR="004C5CDF" w:rsidRDefault="00F26B56">
            <w:pPr>
              <w:pStyle w:val="TableParagraph"/>
              <w:rPr>
                <w:sz w:val="24"/>
              </w:rPr>
            </w:pPr>
            <w:r>
              <w:rPr>
                <w:sz w:val="24"/>
              </w:rPr>
              <w:t>SEQR/CEQR No.: 17ECF001K</w:t>
            </w:r>
          </w:p>
        </w:tc>
        <w:tc>
          <w:tcPr>
            <w:tcW w:w="5328" w:type="dxa"/>
            <w:tcBorders>
              <w:top w:val="nil"/>
            </w:tcBorders>
          </w:tcPr>
          <w:p w:rsidR="004C5CDF" w:rsidRDefault="00F26B56">
            <w:pPr>
              <w:pStyle w:val="TableParagraph"/>
              <w:rPr>
                <w:sz w:val="24"/>
              </w:rPr>
            </w:pPr>
            <w:r>
              <w:rPr>
                <w:sz w:val="24"/>
              </w:rPr>
              <w:t>Long Island City, New York</w:t>
            </w:r>
          </w:p>
        </w:tc>
      </w:tr>
    </w:tbl>
    <w:p w:rsidR="004C5CDF" w:rsidRDefault="004C5CDF">
      <w:pPr>
        <w:pStyle w:val="BodyText"/>
        <w:spacing w:before="10"/>
        <w:rPr>
          <w:b/>
          <w:sz w:val="23"/>
        </w:rPr>
      </w:pPr>
    </w:p>
    <w:p w:rsidR="004C5CDF" w:rsidRDefault="00F26B56" w:rsidP="0061732E">
      <w:pPr>
        <w:rPr>
          <w:b/>
          <w:sz w:val="24"/>
        </w:rPr>
      </w:pPr>
      <w:r w:rsidRPr="0061732E">
        <w:rPr>
          <w:rStyle w:val="Heading3Char"/>
        </w:rPr>
        <w:t>DATE ISSUED</w:t>
      </w:r>
      <w:r>
        <w:rPr>
          <w:b/>
          <w:sz w:val="24"/>
        </w:rPr>
        <w:t>:  May 24, 2017</w:t>
      </w:r>
    </w:p>
    <w:p w:rsidR="004C5CDF" w:rsidRDefault="004C5CDF">
      <w:pPr>
        <w:pStyle w:val="BodyText"/>
        <w:spacing w:before="1"/>
        <w:rPr>
          <w:b/>
          <w:sz w:val="16"/>
        </w:rPr>
      </w:pPr>
    </w:p>
    <w:p w:rsidR="004C5CDF" w:rsidRDefault="00F26B56" w:rsidP="0061732E">
      <w:pPr>
        <w:spacing w:before="90"/>
        <w:rPr>
          <w:b/>
          <w:sz w:val="24"/>
        </w:rPr>
      </w:pPr>
      <w:r w:rsidRPr="0061732E">
        <w:rPr>
          <w:rStyle w:val="Heading3Char"/>
        </w:rPr>
        <w:t>TYPE OF ACTION</w:t>
      </w:r>
      <w:r>
        <w:rPr>
          <w:b/>
          <w:sz w:val="24"/>
        </w:rPr>
        <w:t>:  Type I</w:t>
      </w:r>
    </w:p>
    <w:p w:rsidR="004C5CDF" w:rsidRDefault="004C5CDF">
      <w:pPr>
        <w:pStyle w:val="BodyText"/>
        <w:spacing w:before="1"/>
        <w:rPr>
          <w:b/>
          <w:sz w:val="16"/>
        </w:rPr>
      </w:pPr>
    </w:p>
    <w:p w:rsidR="004C5CDF" w:rsidRPr="0061732E" w:rsidRDefault="00F26B56" w:rsidP="0061732E">
      <w:pPr>
        <w:pStyle w:val="Heading3"/>
      </w:pPr>
      <w:r w:rsidRPr="0061732E">
        <w:t>PROJECT NAME AND LOCATION</w:t>
      </w:r>
    </w:p>
    <w:p w:rsidR="004C5CDF" w:rsidRDefault="004C5CDF">
      <w:pPr>
        <w:pStyle w:val="BodyText"/>
        <w:spacing w:before="10"/>
        <w:rPr>
          <w:b/>
          <w:sz w:val="15"/>
        </w:rPr>
      </w:pPr>
    </w:p>
    <w:p w:rsidR="004C5CDF" w:rsidRDefault="00F26B56">
      <w:pPr>
        <w:pStyle w:val="BodyText"/>
        <w:spacing w:before="90"/>
        <w:ind w:left="220" w:right="216"/>
        <w:jc w:val="both"/>
      </w:pPr>
      <w:r>
        <w:t xml:space="preserve">The New York City Educational Construction Fund (ECF), in coordination with 80 Flatbush Avenue, LLC, is seeking a number of discretionary actions in connection with for the proposed 80 Flatbush Avenue project on Block 174, Lots 1, 9, 13, 18, 23, and 24 in </w:t>
      </w:r>
      <w:r>
        <w:t>Brooklyn. The project site consists of the 61,399 square-foot (sf) block bounded by Schermerhorn Street to the north, Flatbush Avenue to the east, State Street to the south, and 3rd Avenue to the west. The project site is located in Brooklyn Community Dist</w:t>
      </w:r>
      <w:r>
        <w:t>rict (CD) 2. The western portion o</w:t>
      </w:r>
      <w:r w:rsidR="00734449">
        <w:t xml:space="preserve">f the project site is currently </w:t>
      </w:r>
      <w:r>
        <w:t>occupied by the Khalil Gibran International Academy, a public high school which is operated by the New York City Department of Education (DOE). The remainder of the site is currently a mix o</w:t>
      </w:r>
      <w:r>
        <w:t>f residential, commercial, and retail property.</w:t>
      </w:r>
    </w:p>
    <w:p w:rsidR="004C5CDF" w:rsidRDefault="004C5CDF">
      <w:pPr>
        <w:pStyle w:val="BodyText"/>
        <w:spacing w:before="1"/>
      </w:pPr>
    </w:p>
    <w:p w:rsidR="004C5CDF" w:rsidRDefault="00F26B56" w:rsidP="0061732E">
      <w:pPr>
        <w:pStyle w:val="Heading3"/>
        <w:rPr>
          <w:u w:val="none"/>
        </w:rPr>
      </w:pPr>
      <w:r>
        <w:t>PROJECT DESCRIPTION</w:t>
      </w:r>
      <w:r>
        <w:rPr>
          <w:u w:val="none"/>
        </w:rPr>
        <w:t>:</w:t>
      </w:r>
    </w:p>
    <w:p w:rsidR="004C5CDF" w:rsidRDefault="004C5CDF" w:rsidP="0061732E">
      <w:pPr>
        <w:pStyle w:val="Heading3"/>
        <w:rPr>
          <w:sz w:val="15"/>
        </w:rPr>
      </w:pPr>
    </w:p>
    <w:p w:rsidR="004C5CDF" w:rsidRDefault="00F26B56">
      <w:pPr>
        <w:pStyle w:val="BodyText"/>
        <w:spacing w:before="90"/>
        <w:ind w:left="220" w:right="216"/>
        <w:jc w:val="both"/>
      </w:pPr>
      <w:r>
        <w:t>The propo</w:t>
      </w:r>
      <w:r>
        <w:t>s</w:t>
      </w:r>
      <w:r>
        <w:t>ed project includes the construction of a mixed-use building, which includes a replacement facility for an existing high school and a new primary school as well as residential</w:t>
      </w:r>
      <w:r>
        <w:t>, commercial office, retail, and cultural community facility use. It is possible that some of the commercial space could be utilized as joint live-work space. The proposed project would redevelop the site with up to 922 residential units (approximately 830</w:t>
      </w:r>
      <w:r>
        <w:t>,000 gross square feet (gsf)), 245,000 gsf of office, 150 spaces of below-grade accessory parking, a 350-seat primary school, a 350-seat high school, 50,000 gross square feet of retail, and a 15,000 gsf cultural community facility. Two of the existing scho</w:t>
      </w:r>
      <w:r>
        <w:t>ol buildings currently on the project site would be retained and adaptively reused in the proposed development. The total area of the proposed project would be approximately 1,255,000 gsf.</w:t>
      </w:r>
    </w:p>
    <w:p w:rsidR="004C5CDF" w:rsidRDefault="004C5CDF">
      <w:pPr>
        <w:pStyle w:val="BodyText"/>
        <w:rPr>
          <w:sz w:val="21"/>
        </w:rPr>
      </w:pPr>
    </w:p>
    <w:p w:rsidR="004C5CDF" w:rsidRDefault="00F26B56" w:rsidP="0061732E">
      <w:pPr>
        <w:pStyle w:val="Heading3"/>
        <w:rPr>
          <w:u w:val="none"/>
        </w:rPr>
      </w:pPr>
      <w:r>
        <w:t>REQUIRED APPROVALS</w:t>
      </w:r>
    </w:p>
    <w:p w:rsidR="004C5CDF" w:rsidRDefault="004C5CDF">
      <w:pPr>
        <w:pStyle w:val="BodyText"/>
        <w:spacing w:before="6"/>
        <w:rPr>
          <w:b/>
          <w:sz w:val="20"/>
        </w:rPr>
      </w:pPr>
    </w:p>
    <w:p w:rsidR="004C5CDF" w:rsidRDefault="00F26B56">
      <w:pPr>
        <w:pStyle w:val="BodyText"/>
        <w:spacing w:before="1"/>
        <w:ind w:left="220" w:right="216"/>
        <w:jc w:val="both"/>
      </w:pPr>
      <w:r>
        <w:t>The proposed project would require the following city and state discretionary approvals: (i) a zoning text and map amendment to change the site from a C6-2 to an C6-6 district; (ii) transfer  of City-owned property to ECF; (iii) lease of property by ECF to</w:t>
      </w:r>
      <w:r>
        <w:t xml:space="preserve"> 80 Flatbush Avenue, LLC; </w:t>
      </w:r>
      <w:r>
        <w:rPr>
          <w:spacing w:val="32"/>
        </w:rPr>
        <w:t xml:space="preserve"> </w:t>
      </w:r>
      <w:r>
        <w:t>and</w:t>
      </w:r>
    </w:p>
    <w:p w:rsidR="004C5CDF" w:rsidRDefault="00F26B56">
      <w:pPr>
        <w:pStyle w:val="BodyText"/>
        <w:ind w:left="220"/>
        <w:jc w:val="both"/>
      </w:pPr>
      <w:r>
        <w:t>(iv) tax-exempt bond financing by ECF for the school portion of the project. The zoning text</w:t>
      </w:r>
    </w:p>
    <w:p w:rsidR="004C5CDF" w:rsidRDefault="004C5CDF">
      <w:pPr>
        <w:jc w:val="both"/>
        <w:sectPr w:rsidR="004C5CDF">
          <w:footerReference w:type="default" r:id="rId7"/>
          <w:type w:val="continuous"/>
          <w:pgSz w:w="12240" w:h="15840"/>
          <w:pgMar w:top="1500" w:right="1220" w:bottom="1120" w:left="1220" w:header="720" w:footer="929" w:gutter="0"/>
          <w:pgNumType w:start="1"/>
          <w:cols w:space="720"/>
        </w:sectPr>
      </w:pPr>
    </w:p>
    <w:p w:rsidR="004C5CDF" w:rsidRDefault="00F26B56">
      <w:pPr>
        <w:pStyle w:val="BodyText"/>
        <w:spacing w:before="76"/>
        <w:ind w:left="100" w:right="118"/>
        <w:jc w:val="both"/>
      </w:pPr>
      <w:r>
        <w:lastRenderedPageBreak/>
        <w:t>changes would: (i) provide that in C6-6/SDBD, maximum FAR is 18.0 for a site with a school developed in conjunction with ECF (12.0 for residential, 18.0 for commercial/community facility); (ii) provide for special height, setback, and use regulations for t</w:t>
      </w:r>
      <w:r>
        <w:t>he C6-6 district in the SDBD; (iii) designate the Project Area as a Mandatory Inclusionary Housing (MIH) Area, except for that portion currently occupied by the school; and (iv) modify MIH ratio and distribution requirements for a site developed in conjunc</w:t>
      </w:r>
      <w:r>
        <w:t>tion with ECF. To facilitate construction of the schools, ECF would issue tax-exempt bonds.</w:t>
      </w:r>
    </w:p>
    <w:p w:rsidR="004C5CDF" w:rsidRDefault="004C5CDF">
      <w:pPr>
        <w:pStyle w:val="BodyText"/>
        <w:spacing w:before="1"/>
      </w:pPr>
    </w:p>
    <w:p w:rsidR="004C5CDF" w:rsidRDefault="00F26B56" w:rsidP="0061732E">
      <w:pPr>
        <w:pStyle w:val="Heading1"/>
        <w:ind w:left="0"/>
        <w:jc w:val="both"/>
        <w:rPr>
          <w:u w:val="none"/>
        </w:rPr>
      </w:pPr>
      <w:r w:rsidRPr="0061732E">
        <w:rPr>
          <w:rStyle w:val="Heading3Char"/>
          <w:b/>
        </w:rPr>
        <w:t>STATEMENT OF SIGNIFICANT EFFECT</w:t>
      </w:r>
      <w:r>
        <w:rPr>
          <w:u w:val="none"/>
        </w:rPr>
        <w:t>:</w:t>
      </w:r>
    </w:p>
    <w:p w:rsidR="004C5CDF" w:rsidRDefault="004C5CDF">
      <w:pPr>
        <w:pStyle w:val="BodyText"/>
        <w:spacing w:before="10"/>
        <w:rPr>
          <w:b/>
          <w:sz w:val="15"/>
        </w:rPr>
      </w:pPr>
    </w:p>
    <w:p w:rsidR="004C5CDF" w:rsidRDefault="00F26B56">
      <w:pPr>
        <w:pStyle w:val="BodyText"/>
        <w:spacing w:before="90"/>
        <w:ind w:left="100" w:right="115"/>
        <w:jc w:val="both"/>
      </w:pPr>
      <w:r>
        <w:t>In accordance with Executive Order 91 of 1977, as amended, and the Rules of Procedure for City Environmental Quality Review, found at Title 62, Chapter 5 o</w:t>
      </w:r>
      <w:r w:rsidR="00734449">
        <w:t xml:space="preserve">f the Rules of the City of New </w:t>
      </w:r>
      <w:r>
        <w:t xml:space="preserve">York (CEQR), ECF, as the lead agency for the referenced project, has </w:t>
      </w:r>
      <w:r>
        <w:t>determined that the proposed project may have a significant impact on the quality of the human environment. Accordingly, an Environmental Impact Statement is required to evaluate and disclose the extent to which impacts may occur. Aspects of the proposed a</w:t>
      </w:r>
      <w:r>
        <w:t>ction may have the potential to result in environmental impacts in the following</w:t>
      </w:r>
      <w:r>
        <w:rPr>
          <w:spacing w:val="-25"/>
        </w:rPr>
        <w:t xml:space="preserve"> </w:t>
      </w:r>
      <w:r>
        <w:t>areas:</w:t>
      </w:r>
    </w:p>
    <w:p w:rsidR="004C5CDF" w:rsidRDefault="004C5CDF">
      <w:pPr>
        <w:pStyle w:val="BodyText"/>
        <w:spacing w:before="11"/>
        <w:rPr>
          <w:sz w:val="23"/>
        </w:rPr>
      </w:pPr>
    </w:p>
    <w:p w:rsidR="004C5CDF" w:rsidRDefault="00F26B56">
      <w:pPr>
        <w:pStyle w:val="ListParagraph"/>
        <w:numPr>
          <w:ilvl w:val="0"/>
          <w:numId w:val="1"/>
        </w:numPr>
        <w:tabs>
          <w:tab w:val="left" w:pos="639"/>
          <w:tab w:val="left" w:pos="641"/>
        </w:tabs>
        <w:ind w:hanging="540"/>
        <w:rPr>
          <w:sz w:val="24"/>
        </w:rPr>
      </w:pPr>
      <w:r>
        <w:rPr>
          <w:sz w:val="24"/>
        </w:rPr>
        <w:t>Land use, zoning, and public</w:t>
      </w:r>
      <w:r>
        <w:rPr>
          <w:spacing w:val="-31"/>
          <w:sz w:val="24"/>
        </w:rPr>
        <w:t xml:space="preserve"> </w:t>
      </w:r>
      <w:r>
        <w:rPr>
          <w:sz w:val="24"/>
        </w:rPr>
        <w:t>policy;</w:t>
      </w:r>
    </w:p>
    <w:p w:rsidR="004C5CDF" w:rsidRDefault="00F26B56">
      <w:pPr>
        <w:pStyle w:val="ListParagraph"/>
        <w:numPr>
          <w:ilvl w:val="0"/>
          <w:numId w:val="1"/>
        </w:numPr>
        <w:tabs>
          <w:tab w:val="left" w:pos="639"/>
          <w:tab w:val="left" w:pos="640"/>
        </w:tabs>
        <w:ind w:left="639" w:hanging="539"/>
        <w:rPr>
          <w:sz w:val="24"/>
        </w:rPr>
      </w:pPr>
      <w:r>
        <w:rPr>
          <w:sz w:val="24"/>
        </w:rPr>
        <w:t>Socioeconomic</w:t>
      </w:r>
      <w:r>
        <w:rPr>
          <w:spacing w:val="-6"/>
          <w:sz w:val="24"/>
        </w:rPr>
        <w:t xml:space="preserve"> </w:t>
      </w:r>
      <w:r>
        <w:rPr>
          <w:sz w:val="24"/>
        </w:rPr>
        <w:t>conditions;</w:t>
      </w:r>
    </w:p>
    <w:p w:rsidR="004C5CDF" w:rsidRDefault="00F26B56">
      <w:pPr>
        <w:pStyle w:val="ListParagraph"/>
        <w:numPr>
          <w:ilvl w:val="0"/>
          <w:numId w:val="1"/>
        </w:numPr>
        <w:tabs>
          <w:tab w:val="left" w:pos="639"/>
          <w:tab w:val="left" w:pos="640"/>
        </w:tabs>
        <w:ind w:left="639" w:hanging="539"/>
        <w:rPr>
          <w:sz w:val="24"/>
        </w:rPr>
      </w:pPr>
      <w:r>
        <w:rPr>
          <w:sz w:val="24"/>
        </w:rPr>
        <w:t>Community</w:t>
      </w:r>
      <w:r>
        <w:rPr>
          <w:spacing w:val="-2"/>
          <w:sz w:val="24"/>
        </w:rPr>
        <w:t xml:space="preserve"> </w:t>
      </w:r>
      <w:r>
        <w:rPr>
          <w:sz w:val="24"/>
        </w:rPr>
        <w:t>facilities;</w:t>
      </w:r>
    </w:p>
    <w:p w:rsidR="004C5CDF" w:rsidRDefault="00F26B56">
      <w:pPr>
        <w:pStyle w:val="ListParagraph"/>
        <w:numPr>
          <w:ilvl w:val="0"/>
          <w:numId w:val="1"/>
        </w:numPr>
        <w:tabs>
          <w:tab w:val="left" w:pos="639"/>
          <w:tab w:val="left" w:pos="640"/>
        </w:tabs>
        <w:ind w:right="119" w:hanging="540"/>
        <w:rPr>
          <w:sz w:val="24"/>
        </w:rPr>
      </w:pPr>
      <w:r>
        <w:rPr>
          <w:sz w:val="24"/>
        </w:rPr>
        <w:t>Potential incremental shadows that may affect historic resources with significant,</w:t>
      </w:r>
      <w:r>
        <w:rPr>
          <w:sz w:val="24"/>
        </w:rPr>
        <w:t xml:space="preserve"> light- dependent features, publicly accessible open space, and historic</w:t>
      </w:r>
      <w:r>
        <w:rPr>
          <w:spacing w:val="-39"/>
          <w:sz w:val="24"/>
        </w:rPr>
        <w:t xml:space="preserve"> </w:t>
      </w:r>
      <w:r>
        <w:rPr>
          <w:sz w:val="24"/>
        </w:rPr>
        <w:t>landscapes;</w:t>
      </w:r>
    </w:p>
    <w:p w:rsidR="004C5CDF" w:rsidRDefault="00F26B56">
      <w:pPr>
        <w:pStyle w:val="ListParagraph"/>
        <w:numPr>
          <w:ilvl w:val="0"/>
          <w:numId w:val="1"/>
        </w:numPr>
        <w:tabs>
          <w:tab w:val="left" w:pos="639"/>
          <w:tab w:val="left" w:pos="640"/>
        </w:tabs>
        <w:ind w:left="639" w:hanging="539"/>
        <w:rPr>
          <w:sz w:val="24"/>
        </w:rPr>
      </w:pPr>
      <w:r>
        <w:rPr>
          <w:sz w:val="24"/>
        </w:rPr>
        <w:t>Historic and cultural</w:t>
      </w:r>
      <w:r>
        <w:rPr>
          <w:spacing w:val="-7"/>
          <w:sz w:val="24"/>
        </w:rPr>
        <w:t xml:space="preserve"> </w:t>
      </w:r>
      <w:r>
        <w:rPr>
          <w:sz w:val="24"/>
        </w:rPr>
        <w:t>resources;</w:t>
      </w:r>
    </w:p>
    <w:p w:rsidR="004C5CDF" w:rsidRDefault="00F26B56">
      <w:pPr>
        <w:pStyle w:val="ListParagraph"/>
        <w:numPr>
          <w:ilvl w:val="0"/>
          <w:numId w:val="1"/>
        </w:numPr>
        <w:tabs>
          <w:tab w:val="left" w:pos="640"/>
          <w:tab w:val="left" w:pos="641"/>
        </w:tabs>
        <w:ind w:hanging="540"/>
        <w:rPr>
          <w:sz w:val="24"/>
        </w:rPr>
      </w:pPr>
      <w:r>
        <w:rPr>
          <w:sz w:val="24"/>
        </w:rPr>
        <w:t>Urban design and visual</w:t>
      </w:r>
      <w:r>
        <w:rPr>
          <w:spacing w:val="-30"/>
          <w:sz w:val="24"/>
        </w:rPr>
        <w:t xml:space="preserve"> </w:t>
      </w:r>
      <w:r>
        <w:rPr>
          <w:sz w:val="24"/>
        </w:rPr>
        <w:t>resources;</w:t>
      </w:r>
    </w:p>
    <w:p w:rsidR="004C5CDF" w:rsidRDefault="00F26B56">
      <w:pPr>
        <w:pStyle w:val="ListParagraph"/>
        <w:numPr>
          <w:ilvl w:val="0"/>
          <w:numId w:val="1"/>
        </w:numPr>
        <w:tabs>
          <w:tab w:val="left" w:pos="640"/>
          <w:tab w:val="left" w:pos="641"/>
        </w:tabs>
        <w:spacing w:line="275" w:lineRule="exact"/>
        <w:ind w:hanging="540"/>
        <w:rPr>
          <w:sz w:val="24"/>
        </w:rPr>
      </w:pPr>
      <w:r>
        <w:rPr>
          <w:sz w:val="24"/>
        </w:rPr>
        <w:t>Potential pathways for human exposure from contaminated</w:t>
      </w:r>
      <w:r>
        <w:rPr>
          <w:spacing w:val="-10"/>
          <w:sz w:val="24"/>
        </w:rPr>
        <w:t xml:space="preserve"> </w:t>
      </w:r>
      <w:r>
        <w:rPr>
          <w:sz w:val="24"/>
        </w:rPr>
        <w:t>materials;</w:t>
      </w:r>
    </w:p>
    <w:p w:rsidR="004C5CDF" w:rsidRDefault="00F26B56">
      <w:pPr>
        <w:pStyle w:val="ListParagraph"/>
        <w:numPr>
          <w:ilvl w:val="0"/>
          <w:numId w:val="1"/>
        </w:numPr>
        <w:tabs>
          <w:tab w:val="left" w:pos="639"/>
          <w:tab w:val="left" w:pos="640"/>
        </w:tabs>
        <w:ind w:right="118" w:hanging="540"/>
        <w:rPr>
          <w:sz w:val="24"/>
        </w:rPr>
      </w:pPr>
      <w:r>
        <w:rPr>
          <w:sz w:val="24"/>
        </w:rPr>
        <w:t>Infrastructure systems serving the project area, including water supply, sanitary sewage, and stormwater</w:t>
      </w:r>
      <w:r>
        <w:rPr>
          <w:spacing w:val="-6"/>
          <w:sz w:val="24"/>
        </w:rPr>
        <w:t xml:space="preserve"> </w:t>
      </w:r>
      <w:r>
        <w:rPr>
          <w:sz w:val="24"/>
        </w:rPr>
        <w:t>management;</w:t>
      </w:r>
    </w:p>
    <w:p w:rsidR="004C5CDF" w:rsidRDefault="00F26B56">
      <w:pPr>
        <w:pStyle w:val="ListParagraph"/>
        <w:numPr>
          <w:ilvl w:val="0"/>
          <w:numId w:val="1"/>
        </w:numPr>
        <w:tabs>
          <w:tab w:val="left" w:pos="640"/>
          <w:tab w:val="left" w:pos="641"/>
        </w:tabs>
        <w:ind w:right="119" w:hanging="540"/>
        <w:rPr>
          <w:sz w:val="24"/>
        </w:rPr>
      </w:pPr>
      <w:r>
        <w:rPr>
          <w:sz w:val="24"/>
        </w:rPr>
        <w:t>Transportation (including traffic, pedestrians, transit users, parking and vehicular and pedestrian safety);</w:t>
      </w:r>
    </w:p>
    <w:p w:rsidR="004C5CDF" w:rsidRDefault="00F26B56">
      <w:pPr>
        <w:pStyle w:val="ListParagraph"/>
        <w:numPr>
          <w:ilvl w:val="0"/>
          <w:numId w:val="1"/>
        </w:numPr>
        <w:tabs>
          <w:tab w:val="left" w:pos="641"/>
        </w:tabs>
        <w:ind w:right="118" w:hanging="540"/>
        <w:rPr>
          <w:sz w:val="24"/>
        </w:rPr>
      </w:pPr>
      <w:r>
        <w:rPr>
          <w:sz w:val="24"/>
        </w:rPr>
        <w:t>Air quality related to mobile and stationary source emissions from vehicular traffic and parking facilities, and the proposed HVAC</w:t>
      </w:r>
      <w:r>
        <w:rPr>
          <w:spacing w:val="-2"/>
          <w:sz w:val="24"/>
        </w:rPr>
        <w:t xml:space="preserve"> </w:t>
      </w:r>
      <w:r>
        <w:rPr>
          <w:sz w:val="24"/>
        </w:rPr>
        <w:t>system;</w:t>
      </w:r>
    </w:p>
    <w:p w:rsidR="004C5CDF" w:rsidRDefault="00F26B56">
      <w:pPr>
        <w:pStyle w:val="ListParagraph"/>
        <w:numPr>
          <w:ilvl w:val="0"/>
          <w:numId w:val="1"/>
        </w:numPr>
        <w:tabs>
          <w:tab w:val="left" w:pos="620"/>
        </w:tabs>
        <w:ind w:left="620" w:hanging="520"/>
        <w:rPr>
          <w:sz w:val="24"/>
        </w:rPr>
      </w:pPr>
      <w:r>
        <w:rPr>
          <w:sz w:val="24"/>
        </w:rPr>
        <w:t>Greenhouse gas</w:t>
      </w:r>
      <w:r>
        <w:rPr>
          <w:spacing w:val="-1"/>
          <w:sz w:val="24"/>
        </w:rPr>
        <w:t xml:space="preserve"> </w:t>
      </w:r>
      <w:r>
        <w:rPr>
          <w:sz w:val="24"/>
        </w:rPr>
        <w:t>emissions;</w:t>
      </w:r>
    </w:p>
    <w:p w:rsidR="004C5CDF" w:rsidRDefault="00F26B56">
      <w:pPr>
        <w:pStyle w:val="ListParagraph"/>
        <w:numPr>
          <w:ilvl w:val="0"/>
          <w:numId w:val="1"/>
        </w:numPr>
        <w:tabs>
          <w:tab w:val="left" w:pos="620"/>
        </w:tabs>
        <w:ind w:left="620" w:hanging="520"/>
        <w:rPr>
          <w:sz w:val="24"/>
        </w:rPr>
      </w:pPr>
      <w:r>
        <w:rPr>
          <w:sz w:val="24"/>
        </w:rPr>
        <w:t>Noise related to the increase in the volume of vehicular</w:t>
      </w:r>
      <w:r>
        <w:rPr>
          <w:spacing w:val="-12"/>
          <w:sz w:val="24"/>
        </w:rPr>
        <w:t xml:space="preserve"> </w:t>
      </w:r>
      <w:r>
        <w:rPr>
          <w:sz w:val="24"/>
        </w:rPr>
        <w:t>traffic;</w:t>
      </w:r>
    </w:p>
    <w:p w:rsidR="004C5CDF" w:rsidRDefault="00F26B56">
      <w:pPr>
        <w:pStyle w:val="ListParagraph"/>
        <w:numPr>
          <w:ilvl w:val="0"/>
          <w:numId w:val="1"/>
        </w:numPr>
        <w:tabs>
          <w:tab w:val="left" w:pos="641"/>
        </w:tabs>
        <w:ind w:hanging="540"/>
        <w:rPr>
          <w:sz w:val="24"/>
        </w:rPr>
      </w:pPr>
      <w:r>
        <w:rPr>
          <w:sz w:val="24"/>
        </w:rPr>
        <w:t>Public</w:t>
      </w:r>
      <w:r>
        <w:rPr>
          <w:spacing w:val="-1"/>
          <w:sz w:val="24"/>
        </w:rPr>
        <w:t xml:space="preserve"> </w:t>
      </w:r>
      <w:r>
        <w:rPr>
          <w:sz w:val="24"/>
        </w:rPr>
        <w:t>health;</w:t>
      </w:r>
    </w:p>
    <w:p w:rsidR="004C5CDF" w:rsidRDefault="00F26B56">
      <w:pPr>
        <w:pStyle w:val="ListParagraph"/>
        <w:numPr>
          <w:ilvl w:val="0"/>
          <w:numId w:val="1"/>
        </w:numPr>
        <w:tabs>
          <w:tab w:val="left" w:pos="641"/>
        </w:tabs>
        <w:ind w:right="118" w:hanging="540"/>
        <w:rPr>
          <w:sz w:val="24"/>
        </w:rPr>
      </w:pPr>
      <w:r>
        <w:rPr>
          <w:sz w:val="24"/>
        </w:rPr>
        <w:t>Neighborho</w:t>
      </w:r>
      <w:r>
        <w:rPr>
          <w:sz w:val="24"/>
        </w:rPr>
        <w:t>od character due to the introduction of new travel patterns, structures, visual resource changes; and</w:t>
      </w:r>
    </w:p>
    <w:p w:rsidR="004C5CDF" w:rsidRDefault="00F26B56">
      <w:pPr>
        <w:pStyle w:val="ListParagraph"/>
        <w:numPr>
          <w:ilvl w:val="0"/>
          <w:numId w:val="1"/>
        </w:numPr>
        <w:tabs>
          <w:tab w:val="left" w:pos="641"/>
        </w:tabs>
        <w:ind w:right="117" w:hanging="540"/>
        <w:rPr>
          <w:sz w:val="24"/>
        </w:rPr>
      </w:pPr>
      <w:r>
        <w:rPr>
          <w:sz w:val="24"/>
        </w:rPr>
        <w:t>Potential construction-related impacts related to traffic and transportation, parking, air quality, noise, hazardous materials, and historic</w:t>
      </w:r>
      <w:r>
        <w:rPr>
          <w:spacing w:val="-7"/>
          <w:sz w:val="24"/>
        </w:rPr>
        <w:t xml:space="preserve"> </w:t>
      </w:r>
      <w:r>
        <w:rPr>
          <w:sz w:val="24"/>
        </w:rPr>
        <w:t>resources.</w:t>
      </w:r>
    </w:p>
    <w:p w:rsidR="004C5CDF" w:rsidRDefault="004C5CDF">
      <w:pPr>
        <w:pStyle w:val="BodyText"/>
        <w:spacing w:before="10"/>
        <w:rPr>
          <w:sz w:val="23"/>
        </w:rPr>
      </w:pPr>
    </w:p>
    <w:p w:rsidR="004C5CDF" w:rsidRDefault="00F26B56">
      <w:pPr>
        <w:pStyle w:val="BodyText"/>
        <w:spacing w:before="1"/>
        <w:ind w:left="100" w:right="117"/>
        <w:jc w:val="both"/>
      </w:pPr>
      <w:r>
        <w:t>A</w:t>
      </w:r>
      <w:r>
        <w:t>ccordingly, ECF has determined that a Draft Environmental Impact Statement should be prepared in accordance with 6 NYCRR 617.9(b) and Sections 6-08 and 6-09 of Executive Order No. 91 of 1977, as amended.</w:t>
      </w:r>
    </w:p>
    <w:p w:rsidR="004C5CDF" w:rsidRDefault="004C5CDF">
      <w:pPr>
        <w:jc w:val="both"/>
        <w:sectPr w:rsidR="004C5CDF">
          <w:pgSz w:w="12240" w:h="15840"/>
          <w:pgMar w:top="1360" w:right="1320" w:bottom="1120" w:left="1340" w:header="0" w:footer="929" w:gutter="0"/>
          <w:cols w:space="720"/>
        </w:sectPr>
      </w:pPr>
    </w:p>
    <w:p w:rsidR="004C5CDF" w:rsidRDefault="00F26B56" w:rsidP="0061732E">
      <w:pPr>
        <w:spacing w:before="87"/>
        <w:rPr>
          <w:b/>
        </w:rPr>
      </w:pPr>
      <w:r w:rsidRPr="0061732E">
        <w:rPr>
          <w:rStyle w:val="Heading3Char"/>
        </w:rPr>
        <w:lastRenderedPageBreak/>
        <w:t>PUBLIC SCOPING</w:t>
      </w:r>
      <w:r>
        <w:rPr>
          <w:b/>
          <w:w w:val="105"/>
        </w:rPr>
        <w:t>:</w:t>
      </w:r>
    </w:p>
    <w:p w:rsidR="004C5CDF" w:rsidRDefault="004C5CDF">
      <w:pPr>
        <w:pStyle w:val="BodyText"/>
        <w:spacing w:before="1"/>
        <w:rPr>
          <w:b/>
        </w:rPr>
      </w:pPr>
    </w:p>
    <w:p w:rsidR="004C5CDF" w:rsidRDefault="00F26B56">
      <w:pPr>
        <w:spacing w:line="254" w:lineRule="auto"/>
        <w:ind w:left="243" w:right="110" w:firstLine="8"/>
        <w:jc w:val="both"/>
        <w:rPr>
          <w:sz w:val="23"/>
        </w:rPr>
      </w:pPr>
      <w:r>
        <w:rPr>
          <w:sz w:val="23"/>
        </w:rPr>
        <w:t>The first step in the</w:t>
      </w:r>
      <w:r>
        <w:rPr>
          <w:sz w:val="23"/>
        </w:rPr>
        <w:t xml:space="preserve"> environmental review process is Public Scoping. Public Scoping is when the public is invited to comment on the Draft Scope of Work proposed to be</w:t>
      </w:r>
      <w:r w:rsidR="00734449">
        <w:rPr>
          <w:sz w:val="23"/>
        </w:rPr>
        <w:t xml:space="preserve"> used in preparing </w:t>
      </w:r>
      <w:r>
        <w:rPr>
          <w:sz w:val="23"/>
        </w:rPr>
        <w:t>the Draft EIS (DEIS). A Draft Scope of Work has been prepared outlining the proposed cont</w:t>
      </w:r>
      <w:r>
        <w:rPr>
          <w:sz w:val="23"/>
        </w:rPr>
        <w:t>ent and analys</w:t>
      </w:r>
      <w:r w:rsidR="00734449">
        <w:rPr>
          <w:sz w:val="23"/>
        </w:rPr>
        <w:t xml:space="preserve">is to be used in preparing the </w:t>
      </w:r>
      <w:r>
        <w:rPr>
          <w:sz w:val="23"/>
        </w:rPr>
        <w:t>DEIS.</w:t>
      </w:r>
    </w:p>
    <w:p w:rsidR="004C5CDF" w:rsidRDefault="00F26B56">
      <w:pPr>
        <w:spacing w:before="38" w:line="554" w:lineRule="exact"/>
        <w:ind w:left="1644" w:right="711" w:hanging="1410"/>
        <w:rPr>
          <w:sz w:val="23"/>
        </w:rPr>
      </w:pPr>
      <w:r>
        <w:rPr>
          <w:sz w:val="23"/>
        </w:rPr>
        <w:t>A Public Scoping Meeting wil</w:t>
      </w:r>
      <w:bookmarkStart w:id="0" w:name="_GoBack"/>
      <w:bookmarkEnd w:id="0"/>
      <w:r>
        <w:rPr>
          <w:sz w:val="23"/>
        </w:rPr>
        <w:t>l be held on Wednesday, June 28, 2017 at 5:30 PM at the: Board of Education</w:t>
      </w:r>
    </w:p>
    <w:p w:rsidR="004C5CDF" w:rsidRDefault="00F26B56">
      <w:pPr>
        <w:spacing w:line="220" w:lineRule="exact"/>
        <w:ind w:left="1643"/>
        <w:rPr>
          <w:sz w:val="23"/>
        </w:rPr>
      </w:pPr>
      <w:r>
        <w:rPr>
          <w:sz w:val="23"/>
        </w:rPr>
        <w:t>131 Livingston Street</w:t>
      </w:r>
    </w:p>
    <w:p w:rsidR="004C5CDF" w:rsidRDefault="00734449">
      <w:pPr>
        <w:spacing w:before="9" w:line="247" w:lineRule="auto"/>
        <w:ind w:left="1637" w:right="5611" w:firstLine="7"/>
        <w:rPr>
          <w:sz w:val="23"/>
        </w:rPr>
      </w:pPr>
      <w:r>
        <w:rPr>
          <w:sz w:val="23"/>
        </w:rPr>
        <w:t xml:space="preserve">Rooms </w:t>
      </w:r>
      <w:r w:rsidR="00F26B56">
        <w:rPr>
          <w:sz w:val="23"/>
        </w:rPr>
        <w:t>508A/B Brooklyn, NY</w:t>
      </w:r>
    </w:p>
    <w:p w:rsidR="004C5CDF" w:rsidRDefault="004C5CDF">
      <w:pPr>
        <w:pStyle w:val="BodyText"/>
        <w:spacing w:before="5"/>
      </w:pPr>
    </w:p>
    <w:p w:rsidR="004C5CDF" w:rsidRDefault="00F26B56">
      <w:pPr>
        <w:ind w:left="221"/>
        <w:rPr>
          <w:sz w:val="23"/>
        </w:rPr>
      </w:pPr>
      <w:r>
        <w:rPr>
          <w:w w:val="105"/>
          <w:sz w:val="23"/>
        </w:rPr>
        <w:t>A copy of the Draft Scope and the Environmental Assessment Statement and Positive</w:t>
      </w:r>
    </w:p>
    <w:p w:rsidR="004C5CDF" w:rsidRDefault="00F26B56">
      <w:pPr>
        <w:spacing w:before="16" w:line="254" w:lineRule="auto"/>
        <w:ind w:left="215" w:right="105" w:firstLine="4"/>
        <w:rPr>
          <w:sz w:val="23"/>
        </w:rPr>
      </w:pPr>
      <w:r>
        <w:rPr>
          <w:w w:val="105"/>
          <w:sz w:val="23"/>
        </w:rPr>
        <w:t>Declaration</w:t>
      </w:r>
      <w:r>
        <w:rPr>
          <w:spacing w:val="-23"/>
          <w:w w:val="105"/>
          <w:sz w:val="23"/>
        </w:rPr>
        <w:t xml:space="preserve"> </w:t>
      </w:r>
      <w:r>
        <w:rPr>
          <w:w w:val="105"/>
          <w:sz w:val="23"/>
        </w:rPr>
        <w:t>can</w:t>
      </w:r>
      <w:r>
        <w:rPr>
          <w:spacing w:val="-27"/>
          <w:w w:val="105"/>
          <w:sz w:val="23"/>
        </w:rPr>
        <w:t xml:space="preserve"> </w:t>
      </w:r>
      <w:r>
        <w:rPr>
          <w:w w:val="105"/>
          <w:sz w:val="23"/>
        </w:rPr>
        <w:t>be</w:t>
      </w:r>
      <w:r>
        <w:rPr>
          <w:spacing w:val="-28"/>
          <w:w w:val="105"/>
          <w:sz w:val="23"/>
        </w:rPr>
        <w:t xml:space="preserve"> </w:t>
      </w:r>
      <w:r>
        <w:rPr>
          <w:w w:val="105"/>
          <w:sz w:val="23"/>
        </w:rPr>
        <w:t>obtained</w:t>
      </w:r>
      <w:r>
        <w:rPr>
          <w:spacing w:val="-18"/>
          <w:w w:val="105"/>
          <w:sz w:val="23"/>
        </w:rPr>
        <w:t xml:space="preserve"> </w:t>
      </w:r>
      <w:hyperlink r:id="rId8" w:history="1">
        <w:r w:rsidRPr="00734449">
          <w:rPr>
            <w:rStyle w:val="Hyperlink"/>
            <w:w w:val="105"/>
            <w:sz w:val="23"/>
          </w:rPr>
          <w:t>online</w:t>
        </w:r>
      </w:hyperlink>
      <w:r>
        <w:rPr>
          <w:spacing w:val="-23"/>
          <w:w w:val="105"/>
          <w:sz w:val="23"/>
        </w:rPr>
        <w:t xml:space="preserve"> </w:t>
      </w:r>
      <w:r>
        <w:rPr>
          <w:w w:val="105"/>
          <w:sz w:val="23"/>
        </w:rPr>
        <w:t>at</w:t>
      </w:r>
      <w:r>
        <w:rPr>
          <w:spacing w:val="-21"/>
          <w:w w:val="105"/>
          <w:sz w:val="23"/>
        </w:rPr>
        <w:t xml:space="preserve"> </w:t>
      </w:r>
      <w:r>
        <w:rPr>
          <w:w w:val="105"/>
          <w:sz w:val="23"/>
        </w:rPr>
        <w:t>or</w:t>
      </w:r>
      <w:r>
        <w:rPr>
          <w:spacing w:val="-26"/>
          <w:w w:val="105"/>
          <w:sz w:val="23"/>
        </w:rPr>
        <w:t xml:space="preserve"> </w:t>
      </w:r>
      <w:r>
        <w:rPr>
          <w:w w:val="105"/>
          <w:sz w:val="23"/>
        </w:rPr>
        <w:t>by</w:t>
      </w:r>
      <w:r>
        <w:rPr>
          <w:spacing w:val="-26"/>
          <w:w w:val="105"/>
          <w:sz w:val="23"/>
        </w:rPr>
        <w:t xml:space="preserve"> </w:t>
      </w:r>
      <w:r>
        <w:rPr>
          <w:w w:val="105"/>
          <w:sz w:val="23"/>
        </w:rPr>
        <w:t>contacting:</w:t>
      </w:r>
    </w:p>
    <w:p w:rsidR="004C5CDF" w:rsidRDefault="004C5CDF">
      <w:pPr>
        <w:pStyle w:val="BodyText"/>
        <w:spacing w:before="8"/>
      </w:pPr>
    </w:p>
    <w:p w:rsidR="004C5CDF" w:rsidRDefault="00F26B56">
      <w:pPr>
        <w:ind w:left="1630"/>
        <w:rPr>
          <w:b/>
        </w:rPr>
      </w:pPr>
      <w:r>
        <w:rPr>
          <w:b/>
          <w:w w:val="105"/>
        </w:rPr>
        <w:t>Lead Agency Contact</w:t>
      </w:r>
      <w:r>
        <w:rPr>
          <w:b/>
          <w:spacing w:val="55"/>
          <w:w w:val="105"/>
        </w:rPr>
        <w:t xml:space="preserve"> </w:t>
      </w:r>
      <w:r>
        <w:rPr>
          <w:b/>
          <w:w w:val="105"/>
        </w:rPr>
        <w:t>Person:</w:t>
      </w:r>
    </w:p>
    <w:p w:rsidR="004C5CDF" w:rsidRDefault="00734449">
      <w:pPr>
        <w:spacing w:before="11"/>
        <w:ind w:left="1622"/>
        <w:rPr>
          <w:sz w:val="23"/>
        </w:rPr>
      </w:pPr>
      <w:r>
        <w:rPr>
          <w:sz w:val="23"/>
        </w:rPr>
        <w:t xml:space="preserve">Jennifer Maldonado, </w:t>
      </w:r>
      <w:r w:rsidR="00F26B56">
        <w:rPr>
          <w:sz w:val="23"/>
        </w:rPr>
        <w:t>Executive Director</w:t>
      </w:r>
    </w:p>
    <w:p w:rsidR="004C5CDF" w:rsidRDefault="00F26B56">
      <w:pPr>
        <w:spacing w:before="9" w:line="247" w:lineRule="auto"/>
        <w:ind w:left="1618" w:right="3503" w:firstLine="5"/>
        <w:rPr>
          <w:sz w:val="23"/>
        </w:rPr>
      </w:pPr>
      <w:r>
        <w:rPr>
          <w:sz w:val="23"/>
        </w:rPr>
        <w:t xml:space="preserve">New York City Educational Construction Fund 30-30 </w:t>
      </w:r>
      <w:r w:rsidR="00734449">
        <w:rPr>
          <w:sz w:val="23"/>
        </w:rPr>
        <w:t xml:space="preserve">Thomson Avenue, </w:t>
      </w:r>
      <w:r>
        <w:rPr>
          <w:sz w:val="23"/>
        </w:rPr>
        <w:t>4th Floor</w:t>
      </w:r>
    </w:p>
    <w:p w:rsidR="004C5CDF" w:rsidRDefault="00734449">
      <w:pPr>
        <w:spacing w:before="8"/>
        <w:ind w:left="1622"/>
        <w:rPr>
          <w:sz w:val="23"/>
        </w:rPr>
      </w:pPr>
      <w:r>
        <w:rPr>
          <w:sz w:val="23"/>
        </w:rPr>
        <w:t xml:space="preserve">Long Island City, New York </w:t>
      </w:r>
      <w:r w:rsidR="00F26B56">
        <w:rPr>
          <w:sz w:val="23"/>
        </w:rPr>
        <w:t>111</w:t>
      </w:r>
      <w:r w:rsidR="00F26B56">
        <w:rPr>
          <w:sz w:val="23"/>
        </w:rPr>
        <w:t>01</w:t>
      </w:r>
    </w:p>
    <w:p w:rsidR="004C5CDF" w:rsidRDefault="00F26B56">
      <w:pPr>
        <w:spacing w:before="8"/>
        <w:ind w:left="1615"/>
        <w:rPr>
          <w:sz w:val="23"/>
        </w:rPr>
      </w:pPr>
      <w:r>
        <w:rPr>
          <w:b/>
        </w:rPr>
        <w:t xml:space="preserve">Email:   </w:t>
      </w:r>
      <w:hyperlink r:id="rId9">
        <w:r>
          <w:rPr>
            <w:sz w:val="23"/>
          </w:rPr>
          <w:t>Khali1Gibran80Flatbush@schools.nyc.gov</w:t>
        </w:r>
      </w:hyperlink>
    </w:p>
    <w:p w:rsidR="004C5CDF" w:rsidRDefault="004C5CDF">
      <w:pPr>
        <w:pStyle w:val="BodyText"/>
      </w:pPr>
    </w:p>
    <w:p w:rsidR="004C5CDF" w:rsidRDefault="004C5CDF">
      <w:pPr>
        <w:pStyle w:val="BodyText"/>
        <w:spacing w:before="9"/>
        <w:rPr>
          <w:sz w:val="21"/>
        </w:rPr>
      </w:pPr>
    </w:p>
    <w:p w:rsidR="004C5CDF" w:rsidRDefault="00F26B56">
      <w:pPr>
        <w:spacing w:line="252" w:lineRule="auto"/>
        <w:ind w:left="175" w:firstLine="10"/>
        <w:rPr>
          <w:sz w:val="23"/>
        </w:rPr>
      </w:pPr>
      <w:r>
        <w:rPr>
          <w:w w:val="105"/>
          <w:sz w:val="23"/>
        </w:rPr>
        <w:t>Oral</w:t>
      </w:r>
      <w:r>
        <w:rPr>
          <w:spacing w:val="-16"/>
          <w:w w:val="105"/>
          <w:sz w:val="23"/>
        </w:rPr>
        <w:t xml:space="preserve"> </w:t>
      </w:r>
      <w:r>
        <w:rPr>
          <w:w w:val="105"/>
          <w:sz w:val="23"/>
        </w:rPr>
        <w:t>and</w:t>
      </w:r>
      <w:r>
        <w:rPr>
          <w:spacing w:val="-11"/>
          <w:w w:val="105"/>
          <w:sz w:val="23"/>
        </w:rPr>
        <w:t xml:space="preserve"> </w:t>
      </w:r>
      <w:r>
        <w:rPr>
          <w:w w:val="105"/>
          <w:sz w:val="23"/>
        </w:rPr>
        <w:t>written</w:t>
      </w:r>
      <w:r>
        <w:rPr>
          <w:spacing w:val="-18"/>
          <w:w w:val="105"/>
          <w:sz w:val="23"/>
        </w:rPr>
        <w:t xml:space="preserve"> </w:t>
      </w:r>
      <w:r>
        <w:rPr>
          <w:w w:val="105"/>
          <w:sz w:val="23"/>
        </w:rPr>
        <w:t>comments</w:t>
      </w:r>
      <w:r>
        <w:rPr>
          <w:spacing w:val="-6"/>
          <w:w w:val="105"/>
          <w:sz w:val="23"/>
        </w:rPr>
        <w:t xml:space="preserve"> </w:t>
      </w:r>
      <w:r>
        <w:rPr>
          <w:w w:val="105"/>
          <w:sz w:val="23"/>
        </w:rPr>
        <w:t>can</w:t>
      </w:r>
      <w:r>
        <w:rPr>
          <w:spacing w:val="-8"/>
          <w:w w:val="105"/>
          <w:sz w:val="23"/>
        </w:rPr>
        <w:t xml:space="preserve"> </w:t>
      </w:r>
      <w:r>
        <w:rPr>
          <w:w w:val="105"/>
          <w:sz w:val="23"/>
        </w:rPr>
        <w:t>be</w:t>
      </w:r>
      <w:r>
        <w:rPr>
          <w:spacing w:val="-16"/>
          <w:w w:val="105"/>
          <w:sz w:val="23"/>
        </w:rPr>
        <w:t xml:space="preserve"> </w:t>
      </w:r>
      <w:r>
        <w:rPr>
          <w:w w:val="105"/>
          <w:sz w:val="23"/>
        </w:rPr>
        <w:t>submitted</w:t>
      </w:r>
      <w:r>
        <w:rPr>
          <w:spacing w:val="-11"/>
          <w:w w:val="105"/>
          <w:sz w:val="23"/>
        </w:rPr>
        <w:t xml:space="preserve"> </w:t>
      </w:r>
      <w:r>
        <w:rPr>
          <w:w w:val="105"/>
          <w:sz w:val="23"/>
        </w:rPr>
        <w:t>at</w:t>
      </w:r>
      <w:r>
        <w:rPr>
          <w:spacing w:val="-18"/>
          <w:w w:val="105"/>
          <w:sz w:val="23"/>
        </w:rPr>
        <w:t xml:space="preserve"> </w:t>
      </w:r>
      <w:r>
        <w:rPr>
          <w:w w:val="105"/>
          <w:sz w:val="23"/>
        </w:rPr>
        <w:t>the</w:t>
      </w:r>
      <w:r>
        <w:rPr>
          <w:spacing w:val="-16"/>
          <w:w w:val="105"/>
          <w:sz w:val="23"/>
        </w:rPr>
        <w:t xml:space="preserve"> </w:t>
      </w:r>
      <w:r>
        <w:rPr>
          <w:w w:val="105"/>
          <w:sz w:val="23"/>
        </w:rPr>
        <w:t>Public</w:t>
      </w:r>
      <w:r>
        <w:rPr>
          <w:spacing w:val="-14"/>
          <w:w w:val="105"/>
          <w:sz w:val="23"/>
        </w:rPr>
        <w:t xml:space="preserve"> </w:t>
      </w:r>
      <w:r>
        <w:rPr>
          <w:w w:val="105"/>
          <w:sz w:val="23"/>
        </w:rPr>
        <w:t>Scoping</w:t>
      </w:r>
      <w:r>
        <w:rPr>
          <w:spacing w:val="-7"/>
          <w:w w:val="105"/>
          <w:sz w:val="23"/>
        </w:rPr>
        <w:t xml:space="preserve"> </w:t>
      </w:r>
      <w:r>
        <w:rPr>
          <w:w w:val="105"/>
          <w:sz w:val="23"/>
        </w:rPr>
        <w:t>Meeting.</w:t>
      </w:r>
      <w:r>
        <w:rPr>
          <w:spacing w:val="35"/>
          <w:w w:val="105"/>
          <w:sz w:val="23"/>
        </w:rPr>
        <w:t xml:space="preserve"> </w:t>
      </w:r>
      <w:r>
        <w:rPr>
          <w:w w:val="105"/>
          <w:sz w:val="23"/>
        </w:rPr>
        <w:t>Written</w:t>
      </w:r>
      <w:r>
        <w:rPr>
          <w:spacing w:val="-11"/>
          <w:w w:val="105"/>
          <w:sz w:val="23"/>
        </w:rPr>
        <w:t xml:space="preserve"> </w:t>
      </w:r>
      <w:r>
        <w:rPr>
          <w:w w:val="105"/>
          <w:sz w:val="23"/>
        </w:rPr>
        <w:t>comments can also be sent to the above address or email address. Written comments will be accepted by New</w:t>
      </w:r>
      <w:r>
        <w:rPr>
          <w:spacing w:val="-4"/>
          <w:w w:val="105"/>
          <w:sz w:val="23"/>
        </w:rPr>
        <w:t xml:space="preserve"> </w:t>
      </w:r>
      <w:r>
        <w:rPr>
          <w:w w:val="105"/>
          <w:sz w:val="23"/>
        </w:rPr>
        <w:t>York</w:t>
      </w:r>
      <w:r>
        <w:rPr>
          <w:spacing w:val="-12"/>
          <w:w w:val="105"/>
          <w:sz w:val="23"/>
        </w:rPr>
        <w:t xml:space="preserve"> </w:t>
      </w:r>
      <w:r>
        <w:rPr>
          <w:w w:val="105"/>
          <w:sz w:val="23"/>
        </w:rPr>
        <w:t>City</w:t>
      </w:r>
      <w:r>
        <w:rPr>
          <w:spacing w:val="-10"/>
          <w:w w:val="105"/>
          <w:sz w:val="23"/>
        </w:rPr>
        <w:t xml:space="preserve"> </w:t>
      </w:r>
      <w:r>
        <w:rPr>
          <w:w w:val="105"/>
          <w:sz w:val="23"/>
        </w:rPr>
        <w:t>ECF</w:t>
      </w:r>
      <w:r>
        <w:rPr>
          <w:spacing w:val="-16"/>
          <w:w w:val="105"/>
          <w:sz w:val="23"/>
        </w:rPr>
        <w:t xml:space="preserve"> </w:t>
      </w:r>
      <w:r>
        <w:rPr>
          <w:w w:val="105"/>
          <w:sz w:val="23"/>
        </w:rPr>
        <w:t>at</w:t>
      </w:r>
      <w:r>
        <w:rPr>
          <w:spacing w:val="-12"/>
          <w:w w:val="105"/>
          <w:sz w:val="23"/>
        </w:rPr>
        <w:t xml:space="preserve"> </w:t>
      </w:r>
      <w:r>
        <w:rPr>
          <w:w w:val="105"/>
          <w:sz w:val="23"/>
        </w:rPr>
        <w:t>the</w:t>
      </w:r>
      <w:r>
        <w:rPr>
          <w:spacing w:val="-15"/>
          <w:w w:val="105"/>
          <w:sz w:val="23"/>
        </w:rPr>
        <w:t xml:space="preserve"> </w:t>
      </w:r>
      <w:r>
        <w:rPr>
          <w:w w:val="105"/>
          <w:sz w:val="23"/>
        </w:rPr>
        <w:t>above</w:t>
      </w:r>
      <w:r>
        <w:rPr>
          <w:spacing w:val="-10"/>
          <w:w w:val="105"/>
          <w:sz w:val="23"/>
        </w:rPr>
        <w:t xml:space="preserve"> </w:t>
      </w:r>
      <w:r>
        <w:rPr>
          <w:w w:val="105"/>
          <w:sz w:val="23"/>
        </w:rPr>
        <w:t>address</w:t>
      </w:r>
      <w:r>
        <w:rPr>
          <w:spacing w:val="-13"/>
          <w:w w:val="105"/>
          <w:sz w:val="23"/>
        </w:rPr>
        <w:t xml:space="preserve"> </w:t>
      </w:r>
      <w:r>
        <w:rPr>
          <w:w w:val="105"/>
          <w:sz w:val="23"/>
        </w:rPr>
        <w:t>or</w:t>
      </w:r>
      <w:r>
        <w:rPr>
          <w:spacing w:val="-16"/>
          <w:w w:val="105"/>
          <w:sz w:val="23"/>
        </w:rPr>
        <w:t xml:space="preserve"> </w:t>
      </w:r>
      <w:r>
        <w:rPr>
          <w:w w:val="105"/>
          <w:sz w:val="23"/>
        </w:rPr>
        <w:t>email</w:t>
      </w:r>
      <w:r>
        <w:rPr>
          <w:spacing w:val="-4"/>
          <w:w w:val="105"/>
          <w:sz w:val="23"/>
        </w:rPr>
        <w:t xml:space="preserve"> </w:t>
      </w:r>
      <w:r>
        <w:rPr>
          <w:w w:val="105"/>
          <w:sz w:val="23"/>
        </w:rPr>
        <w:t>through</w:t>
      </w:r>
      <w:r>
        <w:rPr>
          <w:spacing w:val="-4"/>
          <w:w w:val="105"/>
          <w:sz w:val="23"/>
        </w:rPr>
        <w:t xml:space="preserve"> </w:t>
      </w:r>
      <w:r>
        <w:rPr>
          <w:w w:val="105"/>
          <w:sz w:val="23"/>
        </w:rPr>
        <w:t>Monday,</w:t>
      </w:r>
      <w:r>
        <w:rPr>
          <w:spacing w:val="-6"/>
          <w:w w:val="105"/>
          <w:sz w:val="23"/>
        </w:rPr>
        <w:t xml:space="preserve"> </w:t>
      </w:r>
      <w:r>
        <w:rPr>
          <w:w w:val="105"/>
          <w:sz w:val="23"/>
        </w:rPr>
        <w:t>July</w:t>
      </w:r>
      <w:r>
        <w:rPr>
          <w:spacing w:val="-6"/>
          <w:w w:val="105"/>
          <w:sz w:val="23"/>
        </w:rPr>
        <w:t xml:space="preserve"> </w:t>
      </w:r>
      <w:r>
        <w:rPr>
          <w:w w:val="105"/>
          <w:sz w:val="23"/>
        </w:rPr>
        <w:t>10,</w:t>
      </w:r>
      <w:r>
        <w:rPr>
          <w:spacing w:val="-19"/>
          <w:w w:val="105"/>
          <w:sz w:val="23"/>
        </w:rPr>
        <w:t xml:space="preserve"> </w:t>
      </w:r>
      <w:r>
        <w:rPr>
          <w:w w:val="105"/>
          <w:sz w:val="23"/>
        </w:rPr>
        <w:t>2017.</w:t>
      </w:r>
    </w:p>
    <w:p w:rsidR="004C5CDF" w:rsidRDefault="004C5CDF">
      <w:pPr>
        <w:pStyle w:val="BodyText"/>
        <w:spacing w:before="3"/>
        <w:rPr>
          <w:sz w:val="20"/>
        </w:rPr>
      </w:pPr>
    </w:p>
    <w:p w:rsidR="004C5CDF" w:rsidRDefault="00F26B56">
      <w:pPr>
        <w:spacing w:line="247" w:lineRule="auto"/>
        <w:ind w:left="171" w:firstLine="1"/>
        <w:rPr>
          <w:sz w:val="23"/>
        </w:rPr>
      </w:pPr>
      <w:r>
        <w:rPr>
          <w:sz w:val="23"/>
        </w:rPr>
        <w:t>The Positive Declaration has been prepared in accordance with Article 8 of the Environmental Conservation</w:t>
      </w:r>
      <w:r>
        <w:rPr>
          <w:spacing w:val="53"/>
          <w:sz w:val="23"/>
        </w:rPr>
        <w:t xml:space="preserve"> </w:t>
      </w:r>
      <w:r>
        <w:rPr>
          <w:sz w:val="23"/>
        </w:rPr>
        <w:t>Law.</w:t>
      </w:r>
    </w:p>
    <w:p w:rsidR="004C5CDF" w:rsidRDefault="004C5CDF">
      <w:pPr>
        <w:pStyle w:val="BodyText"/>
        <w:rPr>
          <w:sz w:val="20"/>
        </w:rPr>
      </w:pPr>
    </w:p>
    <w:p w:rsidR="004C5CDF" w:rsidRDefault="004C5CDF">
      <w:pPr>
        <w:pStyle w:val="BodyText"/>
        <w:spacing w:before="1"/>
        <w:rPr>
          <w:sz w:val="19"/>
        </w:rPr>
      </w:pPr>
    </w:p>
    <w:p w:rsidR="004C5CDF" w:rsidRDefault="0061732E">
      <w:pPr>
        <w:spacing w:before="16"/>
        <w:ind w:left="154"/>
        <w:rPr>
          <w:sz w:val="23"/>
        </w:rPr>
      </w:pPr>
      <w:r>
        <w:rPr>
          <w:noProof/>
          <w:sz w:val="23"/>
        </w:rPr>
        <w:drawing>
          <wp:inline distT="0" distB="0" distL="0" distR="0">
            <wp:extent cx="2881226" cy="990422"/>
            <wp:effectExtent l="0" t="0" r="0" b="635"/>
            <wp:docPr id="3" name="Picture 3" descr="Signature of Jennifer Maldonado, Executive Director of the NYC Educational Construction Fund"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367" cy="1005939"/>
                    </a:xfrm>
                    <a:prstGeom prst="rect">
                      <a:avLst/>
                    </a:prstGeom>
                    <a:noFill/>
                    <a:ln>
                      <a:noFill/>
                    </a:ln>
                  </pic:spPr>
                </pic:pic>
              </a:graphicData>
            </a:graphic>
          </wp:inline>
        </w:drawing>
      </w:r>
    </w:p>
    <w:sectPr w:rsidR="004C5CDF">
      <w:footerReference w:type="default" r:id="rId11"/>
      <w:pgSz w:w="12240" w:h="15840"/>
      <w:pgMar w:top="1500" w:right="1560" w:bottom="980" w:left="10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56" w:rsidRDefault="00F26B56">
      <w:r>
        <w:separator/>
      </w:r>
    </w:p>
  </w:endnote>
  <w:endnote w:type="continuationSeparator" w:id="0">
    <w:p w:rsidR="00F26B56" w:rsidRDefault="00F2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96254"/>
      <w:docPartObj>
        <w:docPartGallery w:val="Page Numbers (Bottom of Page)"/>
        <w:docPartUnique/>
      </w:docPartObj>
    </w:sdtPr>
    <w:sdtContent>
      <w:sdt>
        <w:sdtPr>
          <w:id w:val="-732227702"/>
          <w:docPartObj>
            <w:docPartGallery w:val="Page Numbers (Top of Page)"/>
            <w:docPartUnique/>
          </w:docPartObj>
        </w:sdtPr>
        <w:sdtContent>
          <w:p w:rsidR="0061732E" w:rsidRDefault="006173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C5CDF" w:rsidRDefault="004C5CD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009654"/>
      <w:docPartObj>
        <w:docPartGallery w:val="Page Numbers (Bottom of Page)"/>
        <w:docPartUnique/>
      </w:docPartObj>
    </w:sdtPr>
    <w:sdtContent>
      <w:sdt>
        <w:sdtPr>
          <w:id w:val="1728636285"/>
          <w:docPartObj>
            <w:docPartGallery w:val="Page Numbers (Top of Page)"/>
            <w:docPartUnique/>
          </w:docPartObj>
        </w:sdtPr>
        <w:sdtContent>
          <w:p w:rsidR="0061732E" w:rsidRDefault="006173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C5CDF" w:rsidRDefault="004C5CD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56" w:rsidRDefault="00F26B56">
      <w:r>
        <w:separator/>
      </w:r>
    </w:p>
  </w:footnote>
  <w:footnote w:type="continuationSeparator" w:id="0">
    <w:p w:rsidR="00F26B56" w:rsidRDefault="00F2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4639"/>
    <w:multiLevelType w:val="hybridMultilevel"/>
    <w:tmpl w:val="956834CA"/>
    <w:lvl w:ilvl="0" w:tplc="90F82828">
      <w:start w:val="1"/>
      <w:numFmt w:val="decimal"/>
      <w:lvlText w:val="(%1)"/>
      <w:lvlJc w:val="left"/>
      <w:pPr>
        <w:ind w:left="640" w:hanging="541"/>
        <w:jc w:val="left"/>
      </w:pPr>
      <w:rPr>
        <w:rFonts w:ascii="Times New Roman" w:eastAsia="Times New Roman" w:hAnsi="Times New Roman" w:cs="Times New Roman" w:hint="default"/>
        <w:spacing w:val="-1"/>
        <w:w w:val="99"/>
        <w:sz w:val="24"/>
        <w:szCs w:val="24"/>
      </w:rPr>
    </w:lvl>
    <w:lvl w:ilvl="1" w:tplc="F3164434">
      <w:numFmt w:val="bullet"/>
      <w:lvlText w:val="•"/>
      <w:lvlJc w:val="left"/>
      <w:pPr>
        <w:ind w:left="2060" w:hanging="541"/>
      </w:pPr>
      <w:rPr>
        <w:rFonts w:hint="default"/>
      </w:rPr>
    </w:lvl>
    <w:lvl w:ilvl="2" w:tplc="E750ADCA">
      <w:numFmt w:val="bullet"/>
      <w:lvlText w:val="•"/>
      <w:lvlJc w:val="left"/>
      <w:pPr>
        <w:ind w:left="2868" w:hanging="541"/>
      </w:pPr>
      <w:rPr>
        <w:rFonts w:hint="default"/>
      </w:rPr>
    </w:lvl>
    <w:lvl w:ilvl="3" w:tplc="8DB83BB6">
      <w:numFmt w:val="bullet"/>
      <w:lvlText w:val="•"/>
      <w:lvlJc w:val="left"/>
      <w:pPr>
        <w:ind w:left="3677" w:hanging="541"/>
      </w:pPr>
      <w:rPr>
        <w:rFonts w:hint="default"/>
      </w:rPr>
    </w:lvl>
    <w:lvl w:ilvl="4" w:tplc="1EBEE728">
      <w:numFmt w:val="bullet"/>
      <w:lvlText w:val="•"/>
      <w:lvlJc w:val="left"/>
      <w:pPr>
        <w:ind w:left="4486" w:hanging="541"/>
      </w:pPr>
      <w:rPr>
        <w:rFonts w:hint="default"/>
      </w:rPr>
    </w:lvl>
    <w:lvl w:ilvl="5" w:tplc="98B618F8">
      <w:numFmt w:val="bullet"/>
      <w:lvlText w:val="•"/>
      <w:lvlJc w:val="left"/>
      <w:pPr>
        <w:ind w:left="5295" w:hanging="541"/>
      </w:pPr>
      <w:rPr>
        <w:rFonts w:hint="default"/>
      </w:rPr>
    </w:lvl>
    <w:lvl w:ilvl="6" w:tplc="34AE5676">
      <w:numFmt w:val="bullet"/>
      <w:lvlText w:val="•"/>
      <w:lvlJc w:val="left"/>
      <w:pPr>
        <w:ind w:left="6104" w:hanging="541"/>
      </w:pPr>
      <w:rPr>
        <w:rFonts w:hint="default"/>
      </w:rPr>
    </w:lvl>
    <w:lvl w:ilvl="7" w:tplc="893EA51E">
      <w:numFmt w:val="bullet"/>
      <w:lvlText w:val="•"/>
      <w:lvlJc w:val="left"/>
      <w:pPr>
        <w:ind w:left="6913" w:hanging="541"/>
      </w:pPr>
      <w:rPr>
        <w:rFonts w:hint="default"/>
      </w:rPr>
    </w:lvl>
    <w:lvl w:ilvl="8" w:tplc="E60C1CF2">
      <w:numFmt w:val="bullet"/>
      <w:lvlText w:val="•"/>
      <w:lvlJc w:val="left"/>
      <w:pPr>
        <w:ind w:left="7722" w:hanging="5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DF"/>
    <w:rsid w:val="004C5CDF"/>
    <w:rsid w:val="0061732E"/>
    <w:rsid w:val="00734449"/>
    <w:rsid w:val="00F2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78FF"/>
  <w15:docId w15:val="{F1C13736-85A9-49F2-B44D-25421339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u w:val="single" w:color="000000"/>
    </w:rPr>
  </w:style>
  <w:style w:type="paragraph" w:styleId="Heading2">
    <w:name w:val="heading 2"/>
    <w:basedOn w:val="Normal"/>
    <w:next w:val="Normal"/>
    <w:link w:val="Heading2Char"/>
    <w:uiPriority w:val="9"/>
    <w:unhideWhenUsed/>
    <w:qFormat/>
    <w:rsid w:val="00734449"/>
    <w:pPr>
      <w:keepNext/>
      <w:keepLines/>
      <w:spacing w:before="4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61732E"/>
    <w:pPr>
      <w:keepNext/>
      <w:keepLines/>
      <w:spacing w:before="40"/>
      <w:outlineLvl w:val="2"/>
    </w:pPr>
    <w:rPr>
      <w:rFonts w:eastAsiaTheme="majorEastAsia" w:cstheme="majorBidi"/>
      <w:b/>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540"/>
    </w:pPr>
  </w:style>
  <w:style w:type="paragraph" w:customStyle="1" w:styleId="TableParagraph">
    <w:name w:val="Table Paragraph"/>
    <w:basedOn w:val="Normal"/>
    <w:uiPriority w:val="1"/>
    <w:qFormat/>
    <w:pPr>
      <w:spacing w:line="271" w:lineRule="exact"/>
      <w:ind w:left="103"/>
    </w:pPr>
  </w:style>
  <w:style w:type="character" w:styleId="Hyperlink">
    <w:name w:val="Hyperlink"/>
    <w:basedOn w:val="DefaultParagraphFont"/>
    <w:uiPriority w:val="99"/>
    <w:unhideWhenUsed/>
    <w:rsid w:val="00734449"/>
    <w:rPr>
      <w:color w:val="0000FF" w:themeColor="hyperlink"/>
      <w:u w:val="single"/>
    </w:rPr>
  </w:style>
  <w:style w:type="character" w:customStyle="1" w:styleId="Heading2Char">
    <w:name w:val="Heading 2 Char"/>
    <w:basedOn w:val="DefaultParagraphFont"/>
    <w:link w:val="Heading2"/>
    <w:uiPriority w:val="9"/>
    <w:rsid w:val="00734449"/>
    <w:rPr>
      <w:rFonts w:ascii="Times New Roman" w:eastAsiaTheme="majorEastAsia" w:hAnsi="Times New Roman" w:cstheme="majorBidi"/>
      <w:b/>
      <w:color w:val="000000" w:themeColor="text1"/>
      <w:sz w:val="24"/>
      <w:szCs w:val="26"/>
    </w:rPr>
  </w:style>
  <w:style w:type="table" w:styleId="TableGrid">
    <w:name w:val="Table Grid"/>
    <w:basedOn w:val="TableNormal"/>
    <w:uiPriority w:val="39"/>
    <w:rsid w:val="0073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32E"/>
    <w:pPr>
      <w:tabs>
        <w:tab w:val="center" w:pos="4680"/>
        <w:tab w:val="right" w:pos="9360"/>
      </w:tabs>
    </w:pPr>
  </w:style>
  <w:style w:type="character" w:customStyle="1" w:styleId="HeaderChar">
    <w:name w:val="Header Char"/>
    <w:basedOn w:val="DefaultParagraphFont"/>
    <w:link w:val="Header"/>
    <w:uiPriority w:val="99"/>
    <w:rsid w:val="0061732E"/>
    <w:rPr>
      <w:rFonts w:ascii="Times New Roman" w:eastAsia="Times New Roman" w:hAnsi="Times New Roman" w:cs="Times New Roman"/>
    </w:rPr>
  </w:style>
  <w:style w:type="paragraph" w:styleId="Footer">
    <w:name w:val="footer"/>
    <w:basedOn w:val="Normal"/>
    <w:link w:val="FooterChar"/>
    <w:uiPriority w:val="99"/>
    <w:unhideWhenUsed/>
    <w:rsid w:val="0061732E"/>
    <w:pPr>
      <w:tabs>
        <w:tab w:val="center" w:pos="4680"/>
        <w:tab w:val="right" w:pos="9360"/>
      </w:tabs>
    </w:pPr>
  </w:style>
  <w:style w:type="character" w:customStyle="1" w:styleId="FooterChar">
    <w:name w:val="Footer Char"/>
    <w:basedOn w:val="DefaultParagraphFont"/>
    <w:link w:val="Footer"/>
    <w:uiPriority w:val="99"/>
    <w:rsid w:val="0061732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732E"/>
    <w:rPr>
      <w:rFonts w:ascii="Times New Roman" w:eastAsiaTheme="majorEastAsia" w:hAnsi="Times New Roman" w:cstheme="majorBidi"/>
      <w:b/>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ols.nyc.gov/community/facilities/ecf/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hali1Gibran80Flatbush@schools.nyc.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81FC3-A993-4489-A8D4-7F8259ACF117}"/>
</file>

<file path=customXml/itemProps2.xml><?xml version="1.0" encoding="utf-8"?>
<ds:datastoreItem xmlns:ds="http://schemas.openxmlformats.org/officeDocument/2006/customXml" ds:itemID="{69FD405B-64ED-4BE7-935B-6EB67CEA3F0F}"/>
</file>

<file path=customXml/itemProps3.xml><?xml version="1.0" encoding="utf-8"?>
<ds:datastoreItem xmlns:ds="http://schemas.openxmlformats.org/officeDocument/2006/customXml" ds:itemID="{C41D086A-24B4-4D06-A1A8-F3A11A5D3C07}"/>
</file>

<file path=docProps/app.xml><?xml version="1.0" encoding="utf-8"?>
<Properties xmlns="http://schemas.openxmlformats.org/officeDocument/2006/extended-properties" xmlns:vt="http://schemas.openxmlformats.org/officeDocument/2006/docPropsVTypes">
  <Template>Normal</Template>
  <TotalTime>18</TotalTime>
  <Pages>3</Pages>
  <Words>1024</Words>
  <Characters>5431</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Microsoft Word - 80 Flatbush Positive Declaration</vt:lpstr>
    </vt:vector>
  </TitlesOfParts>
  <Company>NYCDOE</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- 80 Flatbush Positive Declaration</dc:title>
  <dc:creator>sburbank</dc:creator>
  <cp:lastModifiedBy>Davenport Shane</cp:lastModifiedBy>
  <cp:revision>2</cp:revision>
  <dcterms:created xsi:type="dcterms:W3CDTF">2018-07-24T13:19:00Z</dcterms:created>
  <dcterms:modified xsi:type="dcterms:W3CDTF">2018-07-24T17:37:00Z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PScript5.dll Version 5.2.2</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