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80" w:rsidRDefault="00782CED">
      <w:pPr>
        <w:pStyle w:val="Heading1"/>
        <w:spacing w:before="53"/>
      </w:pPr>
      <w:r>
        <w:t>ASPECTOS GENERALES DEL PROYECTO “EAST 96</w:t>
      </w:r>
      <w:r>
        <w:rPr>
          <w:position w:val="7"/>
          <w:sz w:val="14"/>
        </w:rPr>
        <w:t xml:space="preserve">th </w:t>
      </w:r>
      <w:r>
        <w:t>STREET”</w:t>
      </w:r>
    </w:p>
    <w:p w:rsidR="00F00080" w:rsidRDefault="00F00080">
      <w:pPr>
        <w:pStyle w:val="BodyText"/>
        <w:spacing w:before="9"/>
        <w:rPr>
          <w:b/>
          <w:sz w:val="20"/>
        </w:rPr>
      </w:pPr>
    </w:p>
    <w:p w:rsidR="00F00080" w:rsidRPr="003A3B30" w:rsidRDefault="00782CED" w:rsidP="003A3B30">
      <w:pPr>
        <w:pStyle w:val="Heading2"/>
      </w:pPr>
      <w:r w:rsidRPr="003A3B30">
        <w:t>¿De qué se trata el proyect</w:t>
      </w:r>
      <w:bookmarkStart w:id="0" w:name="_GoBack"/>
      <w:bookmarkEnd w:id="0"/>
      <w:r w:rsidRPr="003A3B30">
        <w:t>o East 96</w:t>
      </w:r>
      <w:r w:rsidRPr="003A3B30">
        <w:t xml:space="preserve">th </w:t>
      </w:r>
      <w:r w:rsidRPr="003A3B30">
        <w:t>Street (calle East 96</w:t>
      </w:r>
      <w:r w:rsidRPr="003A3B30">
        <w:t>th</w:t>
      </w:r>
      <w:r w:rsidRPr="003A3B30">
        <w:t>)?</w:t>
      </w:r>
    </w:p>
    <w:p w:rsidR="00F00080" w:rsidRDefault="00782CED">
      <w:pPr>
        <w:pStyle w:val="BodyText"/>
        <w:ind w:left="100" w:right="105"/>
        <w:jc w:val="both"/>
      </w:pPr>
      <w:r>
        <w:t>A</w:t>
      </w:r>
      <w:r>
        <w:t xml:space="preserve"> través de una colaboración entre el sector público y privado, el Fondo de Construcción para la Educación de la Ciudad de Nueva York (ECF) y AvalonBay Communities proponen desarrollar un proyecto de usos múltiples que incluye lo siguiente:</w:t>
      </w:r>
    </w:p>
    <w:p w:rsidR="00F00080" w:rsidRDefault="00F00080">
      <w:pPr>
        <w:pStyle w:val="BodyText"/>
        <w:spacing w:before="2"/>
      </w:pPr>
    </w:p>
    <w:p w:rsidR="00F00080" w:rsidRDefault="00782CED">
      <w:pPr>
        <w:pStyle w:val="ListParagraph"/>
        <w:numPr>
          <w:ilvl w:val="0"/>
          <w:numId w:val="2"/>
        </w:numPr>
        <w:tabs>
          <w:tab w:val="left" w:pos="276"/>
        </w:tabs>
        <w:spacing w:before="0"/>
        <w:ind w:right="158" w:firstLine="0"/>
        <w:rPr>
          <w:sz w:val="21"/>
        </w:rPr>
      </w:pPr>
      <w:r>
        <w:rPr>
          <w:sz w:val="21"/>
        </w:rPr>
        <w:t>Dos nuevos edi</w:t>
      </w:r>
      <w:r>
        <w:rPr>
          <w:sz w:val="21"/>
        </w:rPr>
        <w:t>ficios con la más avanzada tecnología para alojar tres escuelas secundarias (COOP Tech, The Heritage School y Park East High</w:t>
      </w:r>
      <w:r>
        <w:rPr>
          <w:spacing w:val="-10"/>
          <w:sz w:val="21"/>
        </w:rPr>
        <w:t xml:space="preserve"> </w:t>
      </w:r>
      <w:r>
        <w:rPr>
          <w:sz w:val="21"/>
        </w:rPr>
        <w:t>School)</w:t>
      </w:r>
    </w:p>
    <w:p w:rsidR="00F00080" w:rsidRDefault="00782CED">
      <w:pPr>
        <w:pStyle w:val="ListParagraph"/>
        <w:numPr>
          <w:ilvl w:val="0"/>
          <w:numId w:val="2"/>
        </w:numPr>
        <w:tabs>
          <w:tab w:val="left" w:pos="276"/>
        </w:tabs>
        <w:spacing w:before="2"/>
        <w:ind w:left="275" w:hanging="175"/>
        <w:rPr>
          <w:sz w:val="21"/>
        </w:rPr>
      </w:pPr>
      <w:r>
        <w:rPr>
          <w:sz w:val="21"/>
        </w:rPr>
        <w:t>De 1,100 a 1,200 nuevas viviendas de</w:t>
      </w:r>
      <w:r>
        <w:rPr>
          <w:spacing w:val="-19"/>
          <w:sz w:val="21"/>
        </w:rPr>
        <w:t xml:space="preserve"> </w:t>
      </w:r>
      <w:r>
        <w:rPr>
          <w:sz w:val="21"/>
        </w:rPr>
        <w:t>apartamentos</w:t>
      </w:r>
    </w:p>
    <w:p w:rsidR="00F00080" w:rsidRDefault="00782CED">
      <w:pPr>
        <w:pStyle w:val="ListParagraph"/>
        <w:numPr>
          <w:ilvl w:val="0"/>
          <w:numId w:val="2"/>
        </w:numPr>
        <w:tabs>
          <w:tab w:val="left" w:pos="276"/>
        </w:tabs>
        <w:spacing w:before="43"/>
        <w:ind w:left="275" w:hanging="175"/>
        <w:rPr>
          <w:sz w:val="21"/>
        </w:rPr>
      </w:pPr>
      <w:r>
        <w:rPr>
          <w:sz w:val="21"/>
        </w:rPr>
        <w:t>Más de 300 viviendas asequibles de manera</w:t>
      </w:r>
      <w:r>
        <w:rPr>
          <w:spacing w:val="-16"/>
          <w:sz w:val="21"/>
        </w:rPr>
        <w:t xml:space="preserve"> </w:t>
      </w:r>
      <w:r>
        <w:rPr>
          <w:sz w:val="21"/>
        </w:rPr>
        <w:t>permanente</w:t>
      </w:r>
    </w:p>
    <w:p w:rsidR="00F00080" w:rsidRDefault="00782CED">
      <w:pPr>
        <w:pStyle w:val="ListParagraph"/>
        <w:numPr>
          <w:ilvl w:val="0"/>
          <w:numId w:val="2"/>
        </w:numPr>
        <w:tabs>
          <w:tab w:val="left" w:pos="276"/>
        </w:tabs>
        <w:spacing w:before="45"/>
        <w:ind w:left="275" w:hanging="175"/>
        <w:rPr>
          <w:sz w:val="21"/>
        </w:rPr>
      </w:pPr>
      <w:r>
        <w:rPr>
          <w:sz w:val="21"/>
        </w:rPr>
        <w:t>Un parque recreativo</w:t>
      </w:r>
      <w:r>
        <w:rPr>
          <w:sz w:val="21"/>
        </w:rPr>
        <w:t xml:space="preserve"> renovado y mejorado con 1.5 acres y nuevo campo de pelota con césped</w:t>
      </w:r>
      <w:r>
        <w:rPr>
          <w:spacing w:val="-27"/>
          <w:sz w:val="21"/>
        </w:rPr>
        <w:t xml:space="preserve"> </w:t>
      </w:r>
      <w:r>
        <w:rPr>
          <w:sz w:val="21"/>
        </w:rPr>
        <w:t>artificial</w:t>
      </w:r>
    </w:p>
    <w:p w:rsidR="00F00080" w:rsidRDefault="00782CED">
      <w:pPr>
        <w:pStyle w:val="ListParagraph"/>
        <w:numPr>
          <w:ilvl w:val="0"/>
          <w:numId w:val="2"/>
        </w:numPr>
        <w:tabs>
          <w:tab w:val="left" w:pos="276"/>
        </w:tabs>
        <w:spacing w:before="43"/>
        <w:ind w:left="275" w:hanging="175"/>
        <w:rPr>
          <w:sz w:val="21"/>
        </w:rPr>
      </w:pPr>
      <w:r>
        <w:rPr>
          <w:sz w:val="21"/>
        </w:rPr>
        <w:t>Hasta 25,000 pies cuadrados de nuevo espacio para uso</w:t>
      </w:r>
      <w:r>
        <w:rPr>
          <w:spacing w:val="-22"/>
          <w:sz w:val="21"/>
        </w:rPr>
        <w:t xml:space="preserve"> </w:t>
      </w:r>
      <w:r>
        <w:rPr>
          <w:sz w:val="21"/>
        </w:rPr>
        <w:t>comercial</w:t>
      </w:r>
    </w:p>
    <w:p w:rsidR="00F00080" w:rsidRDefault="00782CED">
      <w:pPr>
        <w:pStyle w:val="ListParagraph"/>
        <w:numPr>
          <w:ilvl w:val="0"/>
          <w:numId w:val="2"/>
        </w:numPr>
        <w:tabs>
          <w:tab w:val="left" w:pos="276"/>
        </w:tabs>
        <w:spacing w:before="41"/>
        <w:ind w:left="275" w:hanging="175"/>
        <w:rPr>
          <w:sz w:val="21"/>
        </w:rPr>
      </w:pPr>
      <w:r>
        <w:rPr>
          <w:sz w:val="21"/>
        </w:rPr>
        <w:t>Cerca del nuevo subway de la Segunda</w:t>
      </w:r>
      <w:r>
        <w:rPr>
          <w:spacing w:val="-17"/>
          <w:sz w:val="21"/>
        </w:rPr>
        <w:t xml:space="preserve"> </w:t>
      </w:r>
      <w:r>
        <w:rPr>
          <w:sz w:val="21"/>
        </w:rPr>
        <w:t>Avenida.</w:t>
      </w:r>
    </w:p>
    <w:p w:rsidR="00F00080" w:rsidRDefault="00F00080">
      <w:pPr>
        <w:pStyle w:val="BodyText"/>
        <w:spacing w:before="3"/>
      </w:pPr>
    </w:p>
    <w:p w:rsidR="00F00080" w:rsidRDefault="00782CED">
      <w:pPr>
        <w:pStyle w:val="BodyText"/>
        <w:spacing w:line="237" w:lineRule="auto"/>
        <w:ind w:left="100" w:right="221"/>
      </w:pPr>
      <w:r>
        <w:t xml:space="preserve">El proyecto reemplazará la actual escuela School of Cooperative Technical Education (COOP Tech) con una nueva instalación y se construirá un edificio adicional en el lugar para alojar otras dos escuelas de East Harlem: The Heritage School y Park East High </w:t>
      </w:r>
      <w:r>
        <w:t xml:space="preserve">School. El área se compone de toda una cuadra delimitada por las avenidas Primera y Segunda y las </w:t>
      </w:r>
      <w:proofErr w:type="gramStart"/>
      <w:r>
        <w:t>calles</w:t>
      </w:r>
      <w:proofErr w:type="gramEnd"/>
      <w:r>
        <w:t xml:space="preserve"> East 96</w:t>
      </w:r>
      <w:r>
        <w:rPr>
          <w:position w:val="7"/>
          <w:sz w:val="14"/>
        </w:rPr>
        <w:t xml:space="preserve">th </w:t>
      </w:r>
      <w:r>
        <w:t>y 97</w:t>
      </w:r>
      <w:r>
        <w:rPr>
          <w:position w:val="7"/>
          <w:sz w:val="14"/>
        </w:rPr>
        <w:t>th</w:t>
      </w:r>
      <w:r>
        <w:t>.</w:t>
      </w:r>
    </w:p>
    <w:p w:rsidR="00F00080" w:rsidRDefault="00F00080">
      <w:pPr>
        <w:pStyle w:val="BodyText"/>
        <w:spacing w:before="1"/>
      </w:pPr>
    </w:p>
    <w:p w:rsidR="00F00080" w:rsidRDefault="00782CED">
      <w:pPr>
        <w:pStyle w:val="BodyText"/>
        <w:ind w:left="100" w:right="226"/>
      </w:pPr>
      <w:r>
        <w:t xml:space="preserve">En la actualidad, el lugar aloja la escuela COOP Tech en el lado </w:t>
      </w:r>
      <w:proofErr w:type="gramStart"/>
      <w:r>
        <w:t>este</w:t>
      </w:r>
      <w:proofErr w:type="gramEnd"/>
      <w:r>
        <w:t>, y el parque recreativo Marx Brothers en el lado oeste. El pro</w:t>
      </w:r>
      <w:r>
        <w:t>yecto incluiría un edificio residencial en la esquina de la Segunda Avenida y la calle East 96</w:t>
      </w:r>
      <w:r>
        <w:rPr>
          <w:position w:val="7"/>
          <w:sz w:val="14"/>
        </w:rPr>
        <w:t>th</w:t>
      </w:r>
      <w:r>
        <w:t>, con un 30 por ciento destinado a unidades para viviendas asequibles permanentes, además de un área comercial en la base del edificio, ideal para un mercado de</w:t>
      </w:r>
      <w:r>
        <w:t xml:space="preserve"> alimentos local. El proyecto también supone la reconstrucción y renovación del parque recreativo Marx Brothers, administrado conjuntamente por el Departamento de Educación de la Ciudad de Nueva York (DOE) y el Departamento de Parques y Recreación de la Ci</w:t>
      </w:r>
      <w:r>
        <w:t>udad (DPR).</w:t>
      </w:r>
    </w:p>
    <w:p w:rsidR="00F00080" w:rsidRDefault="00F00080">
      <w:pPr>
        <w:pStyle w:val="BodyText"/>
        <w:spacing w:before="1"/>
      </w:pPr>
    </w:p>
    <w:p w:rsidR="00F00080" w:rsidRDefault="00782CED" w:rsidP="003A3B30">
      <w:pPr>
        <w:pStyle w:val="Heading2"/>
      </w:pPr>
      <w:r>
        <w:t>¿Qué es el ECF?</w:t>
      </w:r>
    </w:p>
    <w:p w:rsidR="00F00080" w:rsidRDefault="00F00080">
      <w:pPr>
        <w:pStyle w:val="BodyText"/>
        <w:rPr>
          <w:b/>
        </w:rPr>
      </w:pPr>
    </w:p>
    <w:p w:rsidR="00782CED" w:rsidRDefault="00782CED" w:rsidP="00782CED">
      <w:pPr>
        <w:pStyle w:val="BodyText"/>
        <w:spacing w:before="1"/>
        <w:ind w:left="100" w:right="149"/>
      </w:pPr>
      <w:r>
        <w:t>La misión del Fondo de Construcción para la Educación de la Ciudad de Nueva York es propiciar el desarrollo integral urbano, con la construcción de proyectos de bienes raíces de uso múltiple que incluyen instalaciones escolare</w:t>
      </w:r>
      <w:r>
        <w:t xml:space="preserve">s nuevas. Bajo esta misión, el EFC aumenta la capacidad </w:t>
      </w:r>
      <w:proofErr w:type="gramStart"/>
      <w:r>
        <w:t>del</w:t>
      </w:r>
      <w:proofErr w:type="gramEnd"/>
      <w:r>
        <w:t xml:space="preserve"> DOE para construir nuevas instalaciones escolares, y así incrementar el número de cupos del sistema educativo. El EFC fue creado por la Asamblea Legislativa del Estado de Nueva York en 1967 y desd</w:t>
      </w:r>
      <w:r>
        <w:t>e entonces sus proyectos han añadido más de 18,000 cupos escolares, 4,500 unidades de vivienda y 1.2 millones de pies cuadrados de espacio de oficinas en la Ciudad de Nueva York.</w:t>
      </w:r>
      <w:r>
        <w:br w:type="page"/>
      </w:r>
    </w:p>
    <w:p w:rsidR="00F00080" w:rsidRDefault="00782CED">
      <w:pPr>
        <w:pStyle w:val="BodyText"/>
        <w:spacing w:before="37"/>
        <w:ind w:left="100" w:right="158"/>
      </w:pPr>
      <w:r>
        <w:lastRenderedPageBreak/>
        <w:t>E</w:t>
      </w:r>
      <w:r>
        <w:t>l ECF construye estructuras de ocupación mixta en terrenos de pr</w:t>
      </w:r>
      <w:r>
        <w:t xml:space="preserve">opiedad de la Ciudad de Nueva York y </w:t>
      </w:r>
      <w:proofErr w:type="gramStart"/>
      <w:r>
        <w:t>cedidos</w:t>
      </w:r>
      <w:proofErr w:type="gramEnd"/>
      <w:r>
        <w:t xml:space="preserve"> a su vez al ECF. La porción </w:t>
      </w:r>
      <w:proofErr w:type="gramStart"/>
      <w:r>
        <w:t>del</w:t>
      </w:r>
      <w:proofErr w:type="gramEnd"/>
      <w:r>
        <w:t xml:space="preserve"> proyecto de uso múltiple destinada a las instalaciones escolares se financia con la emisión de bonos libres de impuestos por un periodo máximo de 40 años. El ECF utiliza la renta </w:t>
      </w:r>
      <w:r>
        <w:t xml:space="preserve">de terrenos, pago de alquileres y otros pagos de impuestos o equivalentes de la porción residencial/comercial de los proyectos para financiar la construcción de sus instalaciones escolares. Los ingresos que generan las porciones no escolares </w:t>
      </w:r>
      <w:proofErr w:type="gramStart"/>
      <w:r>
        <w:t>del</w:t>
      </w:r>
      <w:proofErr w:type="gramEnd"/>
      <w:r>
        <w:t xml:space="preserve"> proyecto s</w:t>
      </w:r>
      <w:r>
        <w:t>e utilizan para el pago del servicio de la deuda de la instalación escolar. A través de esta innovadora colaboración entre el sector público y privado, el ECF facilita que la Ciudad de Nueva York pueda lograr más de lo que de otro modo pudiera hacer. Con e</w:t>
      </w:r>
      <w:r>
        <w:t xml:space="preserve">sta oportunidad de desarrollo, el ECF le ofrece </w:t>
      </w:r>
      <w:proofErr w:type="gramStart"/>
      <w:r>
        <w:t>a</w:t>
      </w:r>
      <w:proofErr w:type="gramEnd"/>
      <w:r>
        <w:t xml:space="preserve"> East Harlem una fuente de oportunidades educativas y económicas, para que más niños tengan acceso a una educación de calidad que los conduzca a un futuro laboral sólido y más familias tengan acceso a vivien</w:t>
      </w:r>
      <w:r>
        <w:t>das asequibles y seguras.</w:t>
      </w:r>
    </w:p>
    <w:p w:rsidR="00F00080" w:rsidRDefault="00F00080">
      <w:pPr>
        <w:pStyle w:val="BodyText"/>
        <w:spacing w:before="1"/>
      </w:pPr>
    </w:p>
    <w:p w:rsidR="00F00080" w:rsidRDefault="00782CED" w:rsidP="003A3B30">
      <w:pPr>
        <w:pStyle w:val="Heading2"/>
      </w:pPr>
      <w:r>
        <w:t>¿Cuál es la altura máxima que alcanzarán los edificios propuestos y dónde estarán ubicados?</w:t>
      </w:r>
    </w:p>
    <w:p w:rsidR="00F00080" w:rsidRDefault="00F00080">
      <w:pPr>
        <w:pStyle w:val="BodyText"/>
        <w:spacing w:before="7"/>
        <w:rPr>
          <w:b/>
          <w:sz w:val="20"/>
        </w:rPr>
      </w:pPr>
    </w:p>
    <w:p w:rsidR="00F00080" w:rsidRDefault="00782CED">
      <w:pPr>
        <w:pStyle w:val="BodyText"/>
        <w:spacing w:before="1"/>
        <w:ind w:left="100" w:right="105"/>
      </w:pPr>
      <w:r>
        <w:t xml:space="preserve">COOP Tech se mudará a </w:t>
      </w:r>
      <w:proofErr w:type="gramStart"/>
      <w:r>
        <w:t>un</w:t>
      </w:r>
      <w:proofErr w:type="gramEnd"/>
      <w:r>
        <w:t xml:space="preserve"> nuevo edificio de ocho pisos en la Segunda Avenida y la calle East 97</w:t>
      </w:r>
      <w:r>
        <w:rPr>
          <w:position w:val="7"/>
          <w:sz w:val="14"/>
        </w:rPr>
        <w:t>th</w:t>
      </w:r>
      <w:r>
        <w:t xml:space="preserve">. Otro nuevo edificio de nueve pisos en </w:t>
      </w:r>
      <w:r>
        <w:t xml:space="preserve">la Primera Avenida, entre las </w:t>
      </w:r>
      <w:proofErr w:type="gramStart"/>
      <w:r>
        <w:t>calles</w:t>
      </w:r>
      <w:proofErr w:type="gramEnd"/>
      <w:r>
        <w:t xml:space="preserve"> East 96</w:t>
      </w:r>
      <w:r>
        <w:rPr>
          <w:position w:val="7"/>
          <w:sz w:val="14"/>
        </w:rPr>
        <w:t xml:space="preserve">th </w:t>
      </w:r>
      <w:r>
        <w:t>y 97</w:t>
      </w:r>
      <w:r>
        <w:rPr>
          <w:position w:val="7"/>
          <w:sz w:val="14"/>
        </w:rPr>
        <w:t xml:space="preserve">th </w:t>
      </w:r>
      <w:r>
        <w:t>(donde se ubica ahora el edificio de COOP Tech), alojará las escuelas secundarias The Heritage School y Park East High School. En la esquina de la Segunda Avenida y la calle East 96</w:t>
      </w:r>
      <w:r>
        <w:rPr>
          <w:position w:val="7"/>
          <w:sz w:val="14"/>
        </w:rPr>
        <w:t xml:space="preserve">th </w:t>
      </w:r>
      <w:r>
        <w:t>se proyecta levant</w:t>
      </w:r>
      <w:r>
        <w:t>ar un edificio de apartamentos de 68 pisos que albergaría entre 1,100 y 1,200 unidades a 760 pies de altura. Los principales beneficios públicos de este proyecto (tres nuevas escuelas secundarias públicas, alrededor de más de 300 apartamentos asequibles pe</w:t>
      </w:r>
      <w:r>
        <w:t>rmanentes y la reconstrucción del parque recreativo Marx Brothers) se materializarán gracias a la inversión privada y sin el dinero de los contribuyentes de la ciudad. A fin de que esto pueda cumplirse, se requieren cierta altura y densidad para que el pro</w:t>
      </w:r>
      <w:r>
        <w:t>yecto sea</w:t>
      </w:r>
      <w:r>
        <w:rPr>
          <w:spacing w:val="-20"/>
        </w:rPr>
        <w:t xml:space="preserve"> </w:t>
      </w:r>
      <w:r>
        <w:t>factible.</w:t>
      </w:r>
    </w:p>
    <w:p w:rsidR="00F00080" w:rsidRDefault="00F00080">
      <w:pPr>
        <w:pStyle w:val="BodyText"/>
        <w:spacing w:before="10"/>
        <w:rPr>
          <w:sz w:val="20"/>
        </w:rPr>
      </w:pPr>
    </w:p>
    <w:p w:rsidR="00F00080" w:rsidRDefault="00782CED" w:rsidP="003A3B30">
      <w:pPr>
        <w:pStyle w:val="Heading2"/>
      </w:pPr>
      <w:r>
        <w:t xml:space="preserve">¿Qué factores se consideraron para la configuración de </w:t>
      </w:r>
      <w:proofErr w:type="gramStart"/>
      <w:r>
        <w:t>este</w:t>
      </w:r>
      <w:proofErr w:type="gramEnd"/>
      <w:r>
        <w:t xml:space="preserve"> proyecto?</w:t>
      </w:r>
    </w:p>
    <w:p w:rsidR="00F00080" w:rsidRDefault="00782CED">
      <w:pPr>
        <w:pStyle w:val="BodyText"/>
        <w:ind w:left="100" w:right="98"/>
      </w:pPr>
      <w:r>
        <w:t xml:space="preserve">El objetivo </w:t>
      </w:r>
      <w:proofErr w:type="gramStart"/>
      <w:r>
        <w:t>del</w:t>
      </w:r>
      <w:proofErr w:type="gramEnd"/>
      <w:r>
        <w:t xml:space="preserve"> ECF y de AvalonBay es construir tres nuevas escuelas secundarias con la más alta tecnología y las mejores instalaciones posibles que ayuden al éxito de los estudiantes. Las instalaciones educativas, que incluyen salones de clases especializ</w:t>
      </w:r>
      <w:r>
        <w:t xml:space="preserve">ados, auditorios, gimnasios y cafeterías, tienen propósitos y métodos de construcción muy distintos a los apartamentos residenciales. Por ello, los edificios escolares estarán separados </w:t>
      </w:r>
      <w:proofErr w:type="gramStart"/>
      <w:r>
        <w:t>del</w:t>
      </w:r>
      <w:proofErr w:type="gramEnd"/>
      <w:r>
        <w:t xml:space="preserve"> edificio residencial. El Departamento de Planificación Urbana de l</w:t>
      </w:r>
      <w:r>
        <w:t>a Ciudad de Nueva York establece que el edificio residencial se construya en la calle East 96</w:t>
      </w:r>
      <w:r>
        <w:rPr>
          <w:position w:val="7"/>
          <w:sz w:val="14"/>
        </w:rPr>
        <w:t xml:space="preserve">th </w:t>
      </w:r>
      <w:r>
        <w:t xml:space="preserve">y la Segunda Avenida para así utilizar al máximo la infraestructura de transporte que incluye el acceso a la nueva estación de tren de la línea Q de la Segunda </w:t>
      </w:r>
      <w:r>
        <w:t>Avenida. Por razones de seguridad, el Departamento de Parques y el Departamento de Educación exigen que el nuevo parque recreativo esté ubicado a mitad de cuadra, entre las avenidas Primera y Segunda.</w:t>
      </w:r>
    </w:p>
    <w:p w:rsidR="00F00080" w:rsidRDefault="00F00080">
      <w:pPr>
        <w:pStyle w:val="BodyText"/>
        <w:spacing w:before="10"/>
        <w:rPr>
          <w:sz w:val="20"/>
        </w:rPr>
      </w:pPr>
    </w:p>
    <w:p w:rsidR="00F00080" w:rsidRDefault="00782CED" w:rsidP="003A3B30">
      <w:pPr>
        <w:pStyle w:val="Heading2"/>
      </w:pPr>
      <w:r>
        <w:t xml:space="preserve">¿Cuál es la trayectoria histórica </w:t>
      </w:r>
      <w:proofErr w:type="gramStart"/>
      <w:r>
        <w:t>del</w:t>
      </w:r>
      <w:proofErr w:type="gramEnd"/>
      <w:r>
        <w:t xml:space="preserve"> lugar y cómo afe</w:t>
      </w:r>
      <w:r>
        <w:t>ctará el carácter del vecindario?</w:t>
      </w:r>
    </w:p>
    <w:p w:rsidR="00F00080" w:rsidRDefault="00F00080">
      <w:pPr>
        <w:pStyle w:val="BodyText"/>
        <w:spacing w:before="9"/>
        <w:rPr>
          <w:b/>
          <w:sz w:val="20"/>
        </w:rPr>
      </w:pPr>
    </w:p>
    <w:p w:rsidR="00782CED" w:rsidRDefault="00782CED" w:rsidP="00782CED">
      <w:pPr>
        <w:pStyle w:val="BodyText"/>
        <w:ind w:left="100" w:right="183"/>
      </w:pPr>
      <w:r>
        <w:t>A finales de 1800 esta cuadra de la calle East 96</w:t>
      </w:r>
      <w:r>
        <w:rPr>
          <w:position w:val="7"/>
          <w:sz w:val="14"/>
        </w:rPr>
        <w:t xml:space="preserve">th </w:t>
      </w:r>
      <w:r>
        <w:t xml:space="preserve">estaba ocupada por </w:t>
      </w:r>
      <w:proofErr w:type="gramStart"/>
      <w:r>
        <w:t>un</w:t>
      </w:r>
      <w:proofErr w:type="gramEnd"/>
      <w:r>
        <w:t xml:space="preserve"> establo, en la época en que se utilizaban caballos para transportar a los neoyorquinos en ambas vías de la Segunda Avenida, que luego se reemplazó por una instalación para alojar los vagones del tranvía con el mismo propósito. La prop</w:t>
      </w:r>
      <w:r>
        <w:t xml:space="preserve">iedad comenzó su rol educacional en 1941 con la construcción de la escuela secundaria conocida como Machine and Metal Trades High School. Su contribución recreativa al vecindario se inició con el establecimiento de </w:t>
      </w:r>
      <w:proofErr w:type="gramStart"/>
      <w:r>
        <w:t>un</w:t>
      </w:r>
      <w:proofErr w:type="gramEnd"/>
      <w:r>
        <w:t xml:space="preserve"> parque recreativo en 1947, más adelant</w:t>
      </w:r>
      <w:r>
        <w:t>e denominado Marx Brothers, quienes vivían en la calle East 93</w:t>
      </w:r>
      <w:r>
        <w:rPr>
          <w:position w:val="7"/>
          <w:sz w:val="14"/>
        </w:rPr>
        <w:t>rd</w:t>
      </w:r>
      <w:r>
        <w:t>.</w:t>
      </w:r>
      <w:r>
        <w:br w:type="page"/>
      </w:r>
    </w:p>
    <w:p w:rsidR="00782CED" w:rsidRDefault="00782CED" w:rsidP="00782CED">
      <w:pPr>
        <w:pStyle w:val="BodyText"/>
        <w:spacing w:before="37"/>
        <w:ind w:left="100" w:right="103"/>
      </w:pPr>
      <w:r>
        <w:lastRenderedPageBreak/>
        <w:t>Por primera vez en más de tres décadas, tres nuevas escuelas secundarias se construirán en East Harlem, lo cual representa una gran oportunidad para los estudiantes y las familias.</w:t>
      </w:r>
      <w:r>
        <w:t xml:space="preserve"> Las viviendas asequibles permanentes mejorarán el acceso a viviendas de calidad para las familias con ingresos bajos y medios. El parque recreativo Marx Brothers se reconstruirá con modernas mejoras. Asimismo, el nuevo espacio para comercio en la Segunda </w:t>
      </w:r>
      <w:r>
        <w:t xml:space="preserve">Avenida será </w:t>
      </w:r>
      <w:proofErr w:type="gramStart"/>
      <w:r>
        <w:t>un</w:t>
      </w:r>
      <w:proofErr w:type="gramEnd"/>
      <w:r>
        <w:t xml:space="preserve"> gran aporte al vecindario y generará nuevas oportunidades de empleo.</w:t>
      </w:r>
      <w:r>
        <w:br w:type="page"/>
      </w:r>
    </w:p>
    <w:p w:rsidR="00F00080" w:rsidRDefault="00782CED" w:rsidP="003A3B30">
      <w:pPr>
        <w:pStyle w:val="Heading2"/>
      </w:pPr>
      <w:r>
        <w:lastRenderedPageBreak/>
        <w:t>¿</w:t>
      </w:r>
      <w:r>
        <w:t xml:space="preserve">Este proyecto es parte </w:t>
      </w:r>
      <w:proofErr w:type="gramStart"/>
      <w:r>
        <w:t>del</w:t>
      </w:r>
      <w:proofErr w:type="gramEnd"/>
      <w:r>
        <w:t xml:space="preserve"> Plan Comunitario de East Harlem?</w:t>
      </w:r>
    </w:p>
    <w:p w:rsidR="00782CED" w:rsidRDefault="00782CED" w:rsidP="00782CED">
      <w:pPr>
        <w:pStyle w:val="BodyText"/>
        <w:ind w:left="100" w:right="100"/>
      </w:pPr>
      <w:r>
        <w:t>El proyecto East 96</w:t>
      </w:r>
      <w:r>
        <w:rPr>
          <w:position w:val="7"/>
          <w:sz w:val="14"/>
        </w:rPr>
        <w:t xml:space="preserve">th </w:t>
      </w:r>
      <w:r>
        <w:t xml:space="preserve">Street no está ubicado dentro </w:t>
      </w:r>
      <w:proofErr w:type="gramStart"/>
      <w:r>
        <w:t>del</w:t>
      </w:r>
      <w:proofErr w:type="gramEnd"/>
      <w:r>
        <w:t xml:space="preserve"> Plan Comunitario de East Harlem, pero sí coi</w:t>
      </w:r>
      <w:r>
        <w:t>ncide con los objetivos y valores del plan. Este proyecto responde a las necesidades de capital y de capacidad que enfrentan las escuelas de East Harlem, al tiempo que amplía los programas educativos técnicos y profesionales de COOP Tech y crea un clima de</w:t>
      </w:r>
      <w:r>
        <w:t xml:space="preserve"> enseñanza superior para las escuelas secundarias The Heritage School y Park East High School. Además, crea más de 300 apartamentos asequibles permanentes, con niveles variados de asequibilidad, y aumenta las oportunidades laborales de los residentes de </w:t>
      </w:r>
      <w:proofErr w:type="gramStart"/>
      <w:r>
        <w:t>Ea</w:t>
      </w:r>
      <w:r>
        <w:t>st</w:t>
      </w:r>
      <w:proofErr w:type="gramEnd"/>
      <w:r>
        <w:t xml:space="preserve"> Harlem. De igual modo, el parque recreativo Marx Brothers se reconstruirá para satisfacer las necesidades de los residentes actuales y de las escuelas.</w:t>
      </w:r>
      <w:r>
        <w:br w:type="page"/>
      </w:r>
    </w:p>
    <w:p w:rsidR="00F00080" w:rsidRDefault="00782CED" w:rsidP="003A3B30">
      <w:pPr>
        <w:pStyle w:val="Heading2"/>
      </w:pPr>
      <w:r>
        <w:lastRenderedPageBreak/>
        <w:t>TRES NUEVAS ESCUELAS SECUNDARIAS PÚBLICAS PARA LOS ESTUDIANTES DE EAST HARLEM</w:t>
      </w:r>
    </w:p>
    <w:p w:rsidR="00F00080" w:rsidRDefault="00F00080">
      <w:pPr>
        <w:pStyle w:val="BodyText"/>
        <w:spacing w:before="1"/>
        <w:rPr>
          <w:b/>
        </w:rPr>
      </w:pPr>
    </w:p>
    <w:p w:rsidR="00F00080" w:rsidRDefault="00782CED" w:rsidP="00782CED">
      <w:pPr>
        <w:pStyle w:val="Heading3"/>
      </w:pPr>
      <w:r>
        <w:t xml:space="preserve">¿Cuáles son </w:t>
      </w:r>
      <w:r>
        <w:t xml:space="preserve">las nuevas escuelas incluidas en </w:t>
      </w:r>
      <w:proofErr w:type="gramStart"/>
      <w:r>
        <w:t>este</w:t>
      </w:r>
      <w:proofErr w:type="gramEnd"/>
      <w:r>
        <w:t xml:space="preserve"> proyecto?</w:t>
      </w:r>
    </w:p>
    <w:p w:rsidR="00F00080" w:rsidRDefault="00782CED">
      <w:pPr>
        <w:pStyle w:val="BodyText"/>
        <w:ind w:left="100" w:right="681"/>
      </w:pPr>
      <w:r>
        <w:t xml:space="preserve">El principal beneficio público de </w:t>
      </w:r>
      <w:proofErr w:type="gramStart"/>
      <w:r>
        <w:t>este</w:t>
      </w:r>
      <w:proofErr w:type="gramEnd"/>
      <w:r>
        <w:t xml:space="preserve"> proyecto es la construcción de tres nuevas escuelas secundarias públicas en East Harlem:</w:t>
      </w:r>
    </w:p>
    <w:p w:rsidR="00F00080" w:rsidRDefault="00782CED">
      <w:pPr>
        <w:pStyle w:val="ListParagraph"/>
        <w:numPr>
          <w:ilvl w:val="0"/>
          <w:numId w:val="1"/>
        </w:numPr>
        <w:tabs>
          <w:tab w:val="left" w:pos="310"/>
        </w:tabs>
        <w:spacing w:before="2"/>
        <w:rPr>
          <w:sz w:val="21"/>
        </w:rPr>
      </w:pPr>
      <w:r>
        <w:rPr>
          <w:sz w:val="21"/>
        </w:rPr>
        <w:t xml:space="preserve">Reemplazo de la escuela actual </w:t>
      </w:r>
      <w:r>
        <w:rPr>
          <w:b/>
          <w:sz w:val="21"/>
        </w:rPr>
        <w:t xml:space="preserve">COOP Tech High School </w:t>
      </w:r>
      <w:r>
        <w:rPr>
          <w:sz w:val="21"/>
        </w:rPr>
        <w:t>con una nueva</w:t>
      </w:r>
      <w:r>
        <w:rPr>
          <w:spacing w:val="-31"/>
          <w:sz w:val="21"/>
        </w:rPr>
        <w:t xml:space="preserve"> </w:t>
      </w:r>
      <w:r>
        <w:rPr>
          <w:sz w:val="21"/>
        </w:rPr>
        <w:t>instalación.</w:t>
      </w:r>
    </w:p>
    <w:p w:rsidR="00F00080" w:rsidRDefault="00782CED">
      <w:pPr>
        <w:pStyle w:val="ListParagraph"/>
        <w:numPr>
          <w:ilvl w:val="0"/>
          <w:numId w:val="1"/>
        </w:numPr>
        <w:tabs>
          <w:tab w:val="left" w:pos="310"/>
        </w:tabs>
        <w:spacing w:before="53"/>
        <w:rPr>
          <w:sz w:val="21"/>
        </w:rPr>
      </w:pPr>
      <w:r>
        <w:rPr>
          <w:sz w:val="21"/>
        </w:rPr>
        <w:t xml:space="preserve">Reemplazo y traslado de la escuela </w:t>
      </w:r>
      <w:r>
        <w:rPr>
          <w:b/>
          <w:sz w:val="21"/>
        </w:rPr>
        <w:t xml:space="preserve">Park East High School </w:t>
      </w:r>
      <w:r>
        <w:rPr>
          <w:sz w:val="21"/>
        </w:rPr>
        <w:t xml:space="preserve">a </w:t>
      </w:r>
      <w:proofErr w:type="gramStart"/>
      <w:r>
        <w:rPr>
          <w:sz w:val="21"/>
        </w:rPr>
        <w:t>un</w:t>
      </w:r>
      <w:proofErr w:type="gramEnd"/>
      <w:r>
        <w:rPr>
          <w:sz w:val="21"/>
        </w:rPr>
        <w:t xml:space="preserve"> nuevo</w:t>
      </w:r>
      <w:r>
        <w:rPr>
          <w:spacing w:val="-27"/>
          <w:sz w:val="21"/>
        </w:rPr>
        <w:t xml:space="preserve"> </w:t>
      </w:r>
      <w:r>
        <w:rPr>
          <w:sz w:val="21"/>
        </w:rPr>
        <w:t>edificio.</w:t>
      </w:r>
    </w:p>
    <w:p w:rsidR="00F00080" w:rsidRDefault="00782CED">
      <w:pPr>
        <w:pStyle w:val="ListParagraph"/>
        <w:numPr>
          <w:ilvl w:val="0"/>
          <w:numId w:val="1"/>
        </w:numPr>
        <w:tabs>
          <w:tab w:val="left" w:pos="310"/>
        </w:tabs>
        <w:spacing w:before="55"/>
        <w:rPr>
          <w:sz w:val="21"/>
        </w:rPr>
      </w:pPr>
      <w:r>
        <w:rPr>
          <w:sz w:val="21"/>
        </w:rPr>
        <w:t xml:space="preserve">Reemplazo y traslado de la escuela </w:t>
      </w:r>
      <w:r>
        <w:rPr>
          <w:b/>
          <w:sz w:val="21"/>
        </w:rPr>
        <w:t xml:space="preserve">The Heritage School </w:t>
      </w:r>
      <w:r>
        <w:rPr>
          <w:sz w:val="21"/>
        </w:rPr>
        <w:t xml:space="preserve">a </w:t>
      </w:r>
      <w:proofErr w:type="gramStart"/>
      <w:r>
        <w:rPr>
          <w:sz w:val="21"/>
        </w:rPr>
        <w:t>un</w:t>
      </w:r>
      <w:proofErr w:type="gramEnd"/>
      <w:r>
        <w:rPr>
          <w:sz w:val="21"/>
        </w:rPr>
        <w:t xml:space="preserve"> nuevo</w:t>
      </w:r>
      <w:r>
        <w:rPr>
          <w:spacing w:val="-27"/>
          <w:sz w:val="21"/>
        </w:rPr>
        <w:t xml:space="preserve"> </w:t>
      </w:r>
      <w:r>
        <w:rPr>
          <w:sz w:val="21"/>
        </w:rPr>
        <w:t>edificio.</w:t>
      </w:r>
    </w:p>
    <w:p w:rsidR="00F00080" w:rsidRDefault="00F00080">
      <w:pPr>
        <w:pStyle w:val="BodyText"/>
        <w:spacing w:before="10"/>
        <w:rPr>
          <w:sz w:val="20"/>
        </w:rPr>
      </w:pPr>
    </w:p>
    <w:p w:rsidR="00F00080" w:rsidRDefault="00782CED" w:rsidP="00782CED">
      <w:pPr>
        <w:pStyle w:val="Heading3"/>
      </w:pPr>
      <w:r>
        <w:t xml:space="preserve">¿Las escuelas estarán cerradas </w:t>
      </w:r>
      <w:proofErr w:type="gramStart"/>
      <w:r>
        <w:t>durante</w:t>
      </w:r>
      <w:proofErr w:type="gramEnd"/>
      <w:r>
        <w:t xml:space="preserve"> la construcción?</w:t>
      </w:r>
    </w:p>
    <w:p w:rsidR="00F00080" w:rsidRDefault="00782CED">
      <w:pPr>
        <w:pStyle w:val="BodyText"/>
        <w:ind w:left="100" w:right="549"/>
      </w:pPr>
      <w:r>
        <w:t xml:space="preserve">No. Las tres escuelas secundarias permanecerán abiertas </w:t>
      </w:r>
      <w:proofErr w:type="gramStart"/>
      <w:r>
        <w:t>durante</w:t>
      </w:r>
      <w:proofErr w:type="gramEnd"/>
      <w:r>
        <w:t xml:space="preserve"> la construcción y se trasladarán a los nuevos edificios en la calle East 96th una vez construidos.</w:t>
      </w:r>
    </w:p>
    <w:p w:rsidR="00F00080" w:rsidRDefault="00F00080">
      <w:pPr>
        <w:pStyle w:val="BodyText"/>
      </w:pPr>
    </w:p>
    <w:p w:rsidR="00F00080" w:rsidRDefault="00782CED" w:rsidP="00782CED">
      <w:pPr>
        <w:pStyle w:val="Heading3"/>
      </w:pPr>
      <w:r>
        <w:t>¿Cuáles son los beneficios públicos de las nuevas escuelas secundarias?</w:t>
      </w:r>
    </w:p>
    <w:p w:rsidR="00F00080" w:rsidRDefault="00782CED">
      <w:pPr>
        <w:pStyle w:val="BodyText"/>
        <w:ind w:left="100" w:right="278"/>
      </w:pPr>
      <w:r>
        <w:t>El proyecto hace uso</w:t>
      </w:r>
      <w:r>
        <w:t xml:space="preserve"> de la inversión privada para construir tres nuevas escuelas secundarias con la más avanzada tecnología en East Harlem, donde en más de tres décadas no se han construido nuevas escuelas secundarias públicas. Los beneficios incluyen:</w:t>
      </w:r>
    </w:p>
    <w:p w:rsidR="00F00080" w:rsidRDefault="00782CED">
      <w:pPr>
        <w:pStyle w:val="ListParagraph"/>
        <w:numPr>
          <w:ilvl w:val="0"/>
          <w:numId w:val="2"/>
        </w:numPr>
        <w:tabs>
          <w:tab w:val="left" w:pos="276"/>
        </w:tabs>
        <w:spacing w:before="3"/>
        <w:ind w:left="275" w:hanging="175"/>
        <w:rPr>
          <w:sz w:val="21"/>
        </w:rPr>
      </w:pPr>
      <w:r>
        <w:rPr>
          <w:sz w:val="21"/>
        </w:rPr>
        <w:t>Reducción del exceso de</w:t>
      </w:r>
      <w:r>
        <w:rPr>
          <w:sz w:val="21"/>
        </w:rPr>
        <w:t xml:space="preserve"> población de las tres escuelas</w:t>
      </w:r>
      <w:r>
        <w:rPr>
          <w:spacing w:val="-21"/>
          <w:sz w:val="21"/>
        </w:rPr>
        <w:t xml:space="preserve"> </w:t>
      </w:r>
      <w:r>
        <w:rPr>
          <w:sz w:val="21"/>
        </w:rPr>
        <w:t>secundarias.</w:t>
      </w:r>
    </w:p>
    <w:p w:rsidR="00F00080" w:rsidRDefault="00782CED">
      <w:pPr>
        <w:pStyle w:val="ListParagraph"/>
        <w:numPr>
          <w:ilvl w:val="0"/>
          <w:numId w:val="2"/>
        </w:numPr>
        <w:tabs>
          <w:tab w:val="left" w:pos="276"/>
        </w:tabs>
        <w:spacing w:line="242" w:lineRule="auto"/>
        <w:ind w:right="471" w:firstLine="0"/>
        <w:rPr>
          <w:sz w:val="21"/>
        </w:rPr>
      </w:pPr>
      <w:r>
        <w:rPr>
          <w:sz w:val="21"/>
        </w:rPr>
        <w:t>Sustitución de aulas, gimnasios, cafeterías y auditorios obsoletos en las tres escuelas secundarias, con nuevas instalaciones modernamente</w:t>
      </w:r>
      <w:r>
        <w:rPr>
          <w:spacing w:val="-18"/>
          <w:sz w:val="21"/>
        </w:rPr>
        <w:t xml:space="preserve"> </w:t>
      </w:r>
      <w:r>
        <w:rPr>
          <w:sz w:val="21"/>
        </w:rPr>
        <w:t>equipadas.</w:t>
      </w:r>
    </w:p>
    <w:p w:rsidR="00F00080" w:rsidRDefault="00782CED">
      <w:pPr>
        <w:pStyle w:val="ListParagraph"/>
        <w:numPr>
          <w:ilvl w:val="0"/>
          <w:numId w:val="2"/>
        </w:numPr>
        <w:tabs>
          <w:tab w:val="left" w:pos="276"/>
        </w:tabs>
        <w:spacing w:before="58" w:line="242" w:lineRule="auto"/>
        <w:ind w:right="116" w:firstLine="0"/>
        <w:rPr>
          <w:sz w:val="21"/>
        </w:rPr>
      </w:pPr>
      <w:r>
        <w:rPr>
          <w:sz w:val="21"/>
        </w:rPr>
        <w:t>Programas y talleres nuevos y modernos para programas vocacio</w:t>
      </w:r>
      <w:r>
        <w:rPr>
          <w:sz w:val="21"/>
        </w:rPr>
        <w:t>nales populares de COOP Tech que no se pueden impartir adecuadamente en el anticuado plantel de</w:t>
      </w:r>
      <w:r>
        <w:rPr>
          <w:spacing w:val="-22"/>
          <w:sz w:val="21"/>
        </w:rPr>
        <w:t xml:space="preserve"> </w:t>
      </w:r>
      <w:r>
        <w:rPr>
          <w:sz w:val="21"/>
        </w:rPr>
        <w:t>ahora.</w:t>
      </w:r>
    </w:p>
    <w:p w:rsidR="00F00080" w:rsidRDefault="00782CED">
      <w:pPr>
        <w:pStyle w:val="ListParagraph"/>
        <w:numPr>
          <w:ilvl w:val="0"/>
          <w:numId w:val="2"/>
        </w:numPr>
        <w:tabs>
          <w:tab w:val="left" w:pos="276"/>
        </w:tabs>
        <w:ind w:left="275" w:hanging="175"/>
        <w:rPr>
          <w:sz w:val="21"/>
        </w:rPr>
      </w:pPr>
      <w:r>
        <w:rPr>
          <w:sz w:val="21"/>
        </w:rPr>
        <w:t>Espacio privado para consejería individual con los estudiantes, el cual no existe en estos</w:t>
      </w:r>
      <w:r>
        <w:rPr>
          <w:spacing w:val="-32"/>
          <w:sz w:val="21"/>
        </w:rPr>
        <w:t xml:space="preserve"> </w:t>
      </w:r>
      <w:r>
        <w:rPr>
          <w:sz w:val="21"/>
        </w:rPr>
        <w:t>momentos.</w:t>
      </w:r>
    </w:p>
    <w:p w:rsidR="00782CED" w:rsidRPr="00782CED" w:rsidRDefault="00782CED" w:rsidP="00782CED">
      <w:pPr>
        <w:pStyle w:val="ListParagraph"/>
        <w:numPr>
          <w:ilvl w:val="0"/>
          <w:numId w:val="2"/>
        </w:numPr>
        <w:tabs>
          <w:tab w:val="left" w:pos="276"/>
        </w:tabs>
        <w:ind w:right="628" w:firstLine="0"/>
        <w:rPr>
          <w:sz w:val="21"/>
        </w:rPr>
      </w:pPr>
      <w:r>
        <w:rPr>
          <w:sz w:val="21"/>
        </w:rPr>
        <w:t>Instalaciones plenamente compatibles con las especificaciones de la Ley sobre Estadounidenses con Discapacidades</w:t>
      </w:r>
      <w:r>
        <w:rPr>
          <w:spacing w:val="-8"/>
          <w:sz w:val="21"/>
        </w:rPr>
        <w:t xml:space="preserve"> </w:t>
      </w:r>
      <w:r>
        <w:rPr>
          <w:sz w:val="21"/>
        </w:rPr>
        <w:t>(ADA).</w:t>
      </w:r>
      <w:r w:rsidRPr="00782CED">
        <w:rPr>
          <w:sz w:val="21"/>
        </w:rPr>
        <w:br w:type="page"/>
      </w:r>
    </w:p>
    <w:p w:rsidR="00F00080" w:rsidRDefault="00782CED" w:rsidP="003A3B30">
      <w:pPr>
        <w:pStyle w:val="Heading2"/>
      </w:pPr>
      <w:r>
        <w:lastRenderedPageBreak/>
        <w:t>VIVIENDA ASEQUIBLE PERMANENTE</w:t>
      </w:r>
    </w:p>
    <w:p w:rsidR="00F00080" w:rsidRDefault="00F00080">
      <w:pPr>
        <w:pStyle w:val="BodyText"/>
        <w:spacing w:before="1"/>
        <w:rPr>
          <w:b/>
        </w:rPr>
      </w:pPr>
    </w:p>
    <w:p w:rsidR="00F00080" w:rsidRPr="00782CED" w:rsidRDefault="00782CED" w:rsidP="00782CED">
      <w:pPr>
        <w:pStyle w:val="Heading3"/>
      </w:pPr>
      <w:r w:rsidRPr="00782CED">
        <w:t>¿Cómo está integrada la vivienda asequible al proyecto?</w:t>
      </w:r>
    </w:p>
    <w:p w:rsidR="00F00080" w:rsidRDefault="00782CED">
      <w:pPr>
        <w:pStyle w:val="BodyText"/>
        <w:ind w:left="100" w:right="111"/>
      </w:pPr>
      <w:r>
        <w:t>T</w:t>
      </w:r>
      <w:r>
        <w:t>omando en cuenta que la disponibilidad de vivienda asequible es una gran preocupación en la Ciudad de Nueva York en general, y en particular en East Harlem, uno de los objetivos principales de este proyecto es la creación de cientos de apartamentos asequi</w:t>
      </w:r>
      <w:r>
        <w:t xml:space="preserve">bles permanentes, que estarán a disposición de las familias de East Harlem, según el orden de prioridad. El 30 por ciento </w:t>
      </w:r>
      <w:proofErr w:type="gramStart"/>
      <w:r>
        <w:t>del</w:t>
      </w:r>
      <w:proofErr w:type="gramEnd"/>
      <w:r>
        <w:t xml:space="preserve"> número total de apartamentos será asequible de manera permanente, con un estimado de más de 300 unidades.</w:t>
      </w:r>
    </w:p>
    <w:p w:rsidR="00F00080" w:rsidRDefault="00F00080">
      <w:pPr>
        <w:pStyle w:val="BodyText"/>
        <w:spacing w:before="12"/>
        <w:rPr>
          <w:sz w:val="20"/>
        </w:rPr>
      </w:pPr>
    </w:p>
    <w:p w:rsidR="00F00080" w:rsidRDefault="00782CED" w:rsidP="00782CED">
      <w:pPr>
        <w:pStyle w:val="Heading3"/>
      </w:pPr>
      <w:r>
        <w:t>¿Los apartamentos asequ</w:t>
      </w:r>
      <w:r>
        <w:t>ibles estarán a disposición de los residentes de East Harlem? ¿Qué niveles de ingresos se considerarán para tales fines?</w:t>
      </w:r>
    </w:p>
    <w:p w:rsidR="00F00080" w:rsidRDefault="00782CED">
      <w:pPr>
        <w:pStyle w:val="BodyText"/>
        <w:ind w:left="100" w:right="217"/>
      </w:pPr>
      <w:r>
        <w:t xml:space="preserve">La mitad de los más de 300 apartamentos asequibles permanentes estarán destinados a familias que actualmente viven en East Harlem, con </w:t>
      </w:r>
      <w:r>
        <w:t xml:space="preserve">domicilio dentro de los códigos postales 10029 y 10035. El resto de los apartamentos estarán a disposición </w:t>
      </w:r>
      <w:proofErr w:type="gramStart"/>
      <w:r>
        <w:t>del</w:t>
      </w:r>
      <w:proofErr w:type="gramEnd"/>
      <w:r>
        <w:t xml:space="preserve"> público general a través del sistema estándar de lotería de vivienda económica de la ciudad, administrado por el Departamento de Preservación y D</w:t>
      </w:r>
      <w:r>
        <w:t xml:space="preserve">esarrollo de Viviendas. Aunque no se </w:t>
      </w:r>
      <w:proofErr w:type="gramStart"/>
      <w:r>
        <w:t>han</w:t>
      </w:r>
      <w:proofErr w:type="gramEnd"/>
      <w:r>
        <w:t xml:space="preserve"> establecido los requisitos de ingresos de manera definitiva, las viviendas económicas deberán promediar un 60 por ciento del ingreso medio para el área. Dentro de </w:t>
      </w:r>
      <w:proofErr w:type="gramStart"/>
      <w:r>
        <w:t>ese</w:t>
      </w:r>
      <w:proofErr w:type="gramEnd"/>
      <w:r>
        <w:t xml:space="preserve"> requisito, existe un amplio margen de niveles de</w:t>
      </w:r>
      <w:r>
        <w:t xml:space="preserve"> ingresos bajo estudio en estos momentos, a fin de maximizar el nivel de accesibilidad y de asequibilidad de las nuevas viviendas. Estamos trabajando con la ciudad y consultando la opinión de la comunidad para así tomar la mejor decisión.</w:t>
      </w:r>
    </w:p>
    <w:p w:rsidR="00F00080" w:rsidRDefault="00F00080">
      <w:pPr>
        <w:pStyle w:val="BodyText"/>
      </w:pPr>
    </w:p>
    <w:p w:rsidR="00F00080" w:rsidRDefault="00782CED">
      <w:pPr>
        <w:pStyle w:val="BodyText"/>
        <w:ind w:left="100" w:right="89"/>
      </w:pPr>
      <w:r>
        <w:rPr>
          <w:b/>
        </w:rPr>
        <w:t>¿Cuál es la expe</w:t>
      </w:r>
      <w:r>
        <w:rPr>
          <w:b/>
        </w:rPr>
        <w:t xml:space="preserve">riencia de AvalonBay en lo que se refiere a construcción de viviendas asequibles? </w:t>
      </w:r>
      <w:r>
        <w:t xml:space="preserve">AvalonBay reconoce que la disponibilidad de viviendas asequibles es </w:t>
      </w:r>
      <w:proofErr w:type="gramStart"/>
      <w:r>
        <w:t>un</w:t>
      </w:r>
      <w:proofErr w:type="gramEnd"/>
      <w:r>
        <w:t xml:space="preserve"> tema de gran preocupación en la Ciudad de Nueva York, particularmente en East Harlem. A la fecha, Avalo</w:t>
      </w:r>
      <w:r>
        <w:t xml:space="preserve">nBay ha construido, es dueña y administra 1,650 unidades de viviendas asequibles de calidad en toda el área triestatal. Todas estas viviendas asequibles están integradas en los mismos edificios junto con las unidades a precio de mercado. Algunos proyectos </w:t>
      </w:r>
      <w:r>
        <w:t>recientes incluyen la construcción de 142 apartamentos asequibles permanentes en nuestros edificios AVA High Line y Avalon West Chelsea de la calle West 28</w:t>
      </w:r>
      <w:r>
        <w:rPr>
          <w:position w:val="7"/>
          <w:sz w:val="14"/>
        </w:rPr>
        <w:t>th</w:t>
      </w:r>
      <w:r>
        <w:t xml:space="preserve">. La propuesta </w:t>
      </w:r>
      <w:proofErr w:type="gramStart"/>
      <w:r>
        <w:t>del</w:t>
      </w:r>
      <w:proofErr w:type="gramEnd"/>
      <w:r>
        <w:t xml:space="preserve"> proyecto de East 96</w:t>
      </w:r>
      <w:r>
        <w:rPr>
          <w:position w:val="7"/>
          <w:sz w:val="14"/>
        </w:rPr>
        <w:t xml:space="preserve">th </w:t>
      </w:r>
      <w:r>
        <w:t>Street compartirá sus límites geográficos con los sectores</w:t>
      </w:r>
      <w:r>
        <w:t xml:space="preserve"> de Yorkville y East Harlem, dos comunidades dinámicas que están experimentando un fuerte crecimiento y un aumento en los alquileres. Además, la apertura a principios de año de la nueva estación de la calle 96</w:t>
      </w:r>
      <w:r>
        <w:rPr>
          <w:position w:val="7"/>
          <w:sz w:val="14"/>
        </w:rPr>
        <w:t xml:space="preserve">th </w:t>
      </w:r>
      <w:r>
        <w:t>del tren de la Segunda Avenida, como una ext</w:t>
      </w:r>
      <w:r>
        <w:t>ensión del servicio de la línea Q hacia el lado este, aumentará inevitablemente el atractivo del vecindario como un excelente lugar para vivir.</w:t>
      </w:r>
    </w:p>
    <w:p w:rsidR="00F00080" w:rsidRDefault="00F00080">
      <w:pPr>
        <w:pStyle w:val="BodyText"/>
      </w:pPr>
    </w:p>
    <w:p w:rsidR="00F00080" w:rsidRDefault="00782CED" w:rsidP="00782CED">
      <w:pPr>
        <w:pStyle w:val="Heading3"/>
      </w:pPr>
      <w:r>
        <w:t>BENEFICIOS ECONÓMICOS Y LABORALES PARA LOS RESIDENTES Y NEGOCIOS DE EAST HARLEM</w:t>
      </w:r>
    </w:p>
    <w:p w:rsidR="00F00080" w:rsidRDefault="00F00080">
      <w:pPr>
        <w:pStyle w:val="BodyText"/>
        <w:spacing w:before="10"/>
        <w:rPr>
          <w:b/>
          <w:sz w:val="20"/>
        </w:rPr>
      </w:pPr>
    </w:p>
    <w:p w:rsidR="00F00080" w:rsidRDefault="00782CED">
      <w:pPr>
        <w:ind w:left="100"/>
        <w:rPr>
          <w:b/>
          <w:sz w:val="21"/>
        </w:rPr>
      </w:pPr>
      <w:r>
        <w:rPr>
          <w:b/>
          <w:sz w:val="21"/>
        </w:rPr>
        <w:t xml:space="preserve">¿Qué medidas se están tomando </w:t>
      </w:r>
      <w:r>
        <w:rPr>
          <w:b/>
          <w:sz w:val="21"/>
        </w:rPr>
        <w:t>para proveer oportunidades laborales a los residentes de East Harlem?</w:t>
      </w:r>
    </w:p>
    <w:p w:rsidR="00F00080" w:rsidRDefault="00F00080">
      <w:pPr>
        <w:pStyle w:val="BodyText"/>
        <w:rPr>
          <w:b/>
        </w:rPr>
      </w:pPr>
    </w:p>
    <w:p w:rsidR="00F00080" w:rsidRDefault="00782CED" w:rsidP="00782CED">
      <w:pPr>
        <w:pStyle w:val="BodyText"/>
        <w:ind w:left="100" w:right="105"/>
      </w:pPr>
      <w:r>
        <w:t xml:space="preserve">El deseo de AvalonBay es que los residentes de la comunidad se beneficien de la construcción y los empleos permanentes que </w:t>
      </w:r>
      <w:proofErr w:type="gramStart"/>
      <w:r>
        <w:t>este</w:t>
      </w:r>
      <w:proofErr w:type="gramEnd"/>
      <w:r>
        <w:t xml:space="preserve"> proyecto generará. Por esta razón, y en colaboración con </w:t>
      </w:r>
      <w:r>
        <w:t xml:space="preserve">los funcionarios locales electos, los líderes comunitarios y las organizaciones locales sin ánimo de lucro, entre otros, hemos establecido que la contratación local sea </w:t>
      </w:r>
      <w:proofErr w:type="gramStart"/>
      <w:r>
        <w:t>un</w:t>
      </w:r>
      <w:proofErr w:type="gramEnd"/>
      <w:r>
        <w:t xml:space="preserve"> objetivo primordial de este proyecto. Como punto de partida, AvalonBay trabajará con</w:t>
      </w:r>
      <w:r>
        <w:t xml:space="preserve"> el programa municipal </w:t>
      </w:r>
      <w:r>
        <w:rPr>
          <w:i/>
        </w:rPr>
        <w:t xml:space="preserve">HireNYC </w:t>
      </w:r>
      <w:r>
        <w:t xml:space="preserve">para contratar personas dentro de los programas de </w:t>
      </w:r>
      <w:r>
        <w:t xml:space="preserve">desarrollo laboral de la ciudad. Vamos a procurar que la ciudad dirija las iniciativas de </w:t>
      </w:r>
      <w:r>
        <w:rPr>
          <w:i/>
        </w:rPr>
        <w:t xml:space="preserve">HireNYC </w:t>
      </w:r>
      <w:r>
        <w:t xml:space="preserve">hacia las comunidades locales, particularmente East Harlem, al </w:t>
      </w:r>
      <w:r>
        <w:t>centrar los esfuerzos de reclutamiento, eventos de contratación y colaboración en los programas de fuerza laboral de East Harlem.</w:t>
      </w:r>
    </w:p>
    <w:p w:rsidR="00782CED" w:rsidRDefault="00782CED">
      <w:pPr>
        <w:rPr>
          <w:sz w:val="20"/>
          <w:szCs w:val="21"/>
        </w:rPr>
      </w:pPr>
      <w:r>
        <w:rPr>
          <w:sz w:val="20"/>
        </w:rPr>
        <w:br w:type="page"/>
      </w:r>
    </w:p>
    <w:p w:rsidR="00F00080" w:rsidRDefault="00782CED" w:rsidP="00782CED">
      <w:pPr>
        <w:pStyle w:val="Heading3"/>
      </w:pPr>
      <w:r>
        <w:lastRenderedPageBreak/>
        <w:t xml:space="preserve">¿Cuántos y qué tipo de trabajos se crearán a partir de </w:t>
      </w:r>
      <w:proofErr w:type="gramStart"/>
      <w:r>
        <w:t>este</w:t>
      </w:r>
      <w:proofErr w:type="gramEnd"/>
      <w:r>
        <w:t xml:space="preserve"> proyecto?</w:t>
      </w:r>
    </w:p>
    <w:p w:rsidR="00F00080" w:rsidRDefault="00F00080">
      <w:pPr>
        <w:pStyle w:val="BodyText"/>
        <w:spacing w:before="1"/>
        <w:rPr>
          <w:b/>
        </w:rPr>
      </w:pPr>
    </w:p>
    <w:p w:rsidR="00F00080" w:rsidRDefault="00782CED">
      <w:pPr>
        <w:pStyle w:val="BodyText"/>
        <w:ind w:left="100" w:right="239"/>
      </w:pPr>
      <w:r>
        <w:t>Se estima que el proyecto creará hasta unos 1,000 trabajos en construcción y puestos permanentes nuevos. AvalonBay colaborará con la ciudad y las organizaciones comunitarias para promover la contratación de minorías locales y empresas de propiedad de mujer</w:t>
      </w:r>
      <w:r>
        <w:t xml:space="preserve">es, además de otorgar pasantías a los estudiantes de COOP Tech en proceso de transición hacia </w:t>
      </w:r>
      <w:proofErr w:type="gramStart"/>
      <w:r>
        <w:t>un</w:t>
      </w:r>
      <w:proofErr w:type="gramEnd"/>
      <w:r>
        <w:t xml:space="preserve"> empleo permanente. El proyecto incluirá hasta 25,000 pies cuadrados de nuevo espacio comercial para </w:t>
      </w:r>
      <w:proofErr w:type="gramStart"/>
      <w:r>
        <w:t>uso</w:t>
      </w:r>
      <w:proofErr w:type="gramEnd"/>
      <w:r>
        <w:t xml:space="preserve"> y beneficio del vecindario. Este nuevo proyecto de desa</w:t>
      </w:r>
      <w:r>
        <w:t xml:space="preserve">rrollo, ubicado al lado de la nueva estación de tren, generará </w:t>
      </w:r>
      <w:proofErr w:type="gramStart"/>
      <w:r>
        <w:t>un</w:t>
      </w:r>
      <w:proofErr w:type="gramEnd"/>
      <w:r>
        <w:t xml:space="preserve"> significativo nivel de actividad económica y mayor dinamismo en las calles del sector.</w:t>
      </w:r>
    </w:p>
    <w:p w:rsidR="00F00080" w:rsidRDefault="00F00080">
      <w:pPr>
        <w:pStyle w:val="BodyText"/>
        <w:spacing w:before="11"/>
        <w:rPr>
          <w:sz w:val="20"/>
        </w:rPr>
      </w:pPr>
    </w:p>
    <w:p w:rsidR="00F00080" w:rsidRDefault="00782CED">
      <w:pPr>
        <w:pStyle w:val="BodyText"/>
        <w:ind w:left="100" w:right="84"/>
      </w:pPr>
      <w:r>
        <w:t>En colaboración con otros socios comunitarios, el ECF y AvalonBay están estudiando otras estrategias p</w:t>
      </w:r>
      <w:r>
        <w:t>ara crear programas con beneficios económicos para East Harlem. Dichas estrategias laborales también coinciden con las recomendaciones y prioridades que forman parte del Plan Comunitario de East Harlem, donde las partes interesadas dentro de la comunidad e</w:t>
      </w:r>
      <w:r>
        <w:t xml:space="preserve">stán alentando a los empleadores locales, incluyendo las empresas del sector de la construcción, a que contraten a los residentes locales. Tanto AvalonBay </w:t>
      </w:r>
      <w:proofErr w:type="gramStart"/>
      <w:r>
        <w:t>como</w:t>
      </w:r>
      <w:proofErr w:type="gramEnd"/>
      <w:r>
        <w:t xml:space="preserve"> sus contratistas también ofrecerán prácticas de aprendizaje a los estudiantes de COOP Tech duran</w:t>
      </w:r>
      <w:r>
        <w:t>te la construcción del proyecto.</w:t>
      </w:r>
    </w:p>
    <w:p w:rsidR="00F00080" w:rsidRDefault="00F00080">
      <w:pPr>
        <w:pStyle w:val="BodyText"/>
      </w:pPr>
    </w:p>
    <w:p w:rsidR="00F00080" w:rsidRDefault="00782CED" w:rsidP="00782CED">
      <w:pPr>
        <w:pStyle w:val="Heading3"/>
      </w:pPr>
      <w:r>
        <w:t xml:space="preserve">¿Cómo afectará </w:t>
      </w:r>
      <w:proofErr w:type="gramStart"/>
      <w:r>
        <w:t>este</w:t>
      </w:r>
      <w:proofErr w:type="gramEnd"/>
      <w:r>
        <w:t xml:space="preserve"> proyecto a los pequeños negocios de la comunidad?</w:t>
      </w:r>
    </w:p>
    <w:p w:rsidR="00F00080" w:rsidRDefault="00782CED">
      <w:pPr>
        <w:pStyle w:val="BodyText"/>
        <w:ind w:left="100" w:right="129"/>
      </w:pPr>
      <w:r>
        <w:t>AvalonBay es sensible al deseo de la comunidad de que se creen aún más oportunidades de éxito para los pequeños negocios locales, particularmente en Eas</w:t>
      </w:r>
      <w:r>
        <w:t>t Harlem. Con el aumento de disponibilidad de apartamentos asequibles y de apartamentos a precio de mercado en el vecindario, el proyecto proveerá una amplia variedad de nuevos clientes para el sustento de los negocios del vecindario, especialmente las tie</w:t>
      </w:r>
      <w:r>
        <w:t>ndas de alimentos, las tiendas minoristas y los restaurantes, y la presencia permanente del parque recreativo y la escuela seguirá atrayendo un mayor tráfico peatonal al vecindario.</w:t>
      </w:r>
    </w:p>
    <w:p w:rsidR="00F00080" w:rsidRDefault="00F00080">
      <w:pPr>
        <w:pStyle w:val="BodyText"/>
        <w:spacing w:before="10"/>
        <w:rPr>
          <w:sz w:val="20"/>
        </w:rPr>
      </w:pPr>
    </w:p>
    <w:p w:rsidR="00F00080" w:rsidRDefault="00782CED" w:rsidP="00782CED">
      <w:pPr>
        <w:pStyle w:val="Heading3"/>
      </w:pPr>
      <w:r>
        <w:t>RENOVACIÓN DEL PARQUE RECREATIVO MARX BROTHERS</w:t>
      </w:r>
    </w:p>
    <w:p w:rsidR="00F00080" w:rsidRDefault="00F00080">
      <w:pPr>
        <w:pStyle w:val="BodyText"/>
        <w:spacing w:before="1"/>
        <w:rPr>
          <w:b/>
        </w:rPr>
      </w:pPr>
    </w:p>
    <w:p w:rsidR="00F00080" w:rsidRDefault="00782CED">
      <w:pPr>
        <w:ind w:left="100"/>
        <w:rPr>
          <w:b/>
          <w:sz w:val="21"/>
        </w:rPr>
      </w:pPr>
      <w:r>
        <w:rPr>
          <w:b/>
          <w:sz w:val="21"/>
        </w:rPr>
        <w:t>¿Cuáles son las mejoras q</w:t>
      </w:r>
      <w:r>
        <w:rPr>
          <w:b/>
          <w:sz w:val="21"/>
        </w:rPr>
        <w:t>ue se añadirán al parque recreativo Marx Brothers?</w:t>
      </w:r>
    </w:p>
    <w:p w:rsidR="00F00080" w:rsidRDefault="00782CED">
      <w:pPr>
        <w:pStyle w:val="BodyText"/>
        <w:spacing w:before="3" w:line="259" w:lineRule="auto"/>
        <w:ind w:left="100" w:right="104"/>
      </w:pPr>
      <w:r>
        <w:t xml:space="preserve">Diseñado con el fin de responder a las necesidades de la comunidad, el nuevo parque recreativo público Marx Brothers será objeto de nuevas y amplias mejoras, y su renovación cubrirá </w:t>
      </w:r>
      <w:proofErr w:type="gramStart"/>
      <w:r>
        <w:t>como</w:t>
      </w:r>
      <w:proofErr w:type="gramEnd"/>
      <w:r>
        <w:t xml:space="preserve"> mínimo el mismo ta</w:t>
      </w:r>
      <w:r>
        <w:t xml:space="preserve">maño de antes. Los planes incluyen actualmente </w:t>
      </w:r>
      <w:proofErr w:type="gramStart"/>
      <w:r>
        <w:t>un</w:t>
      </w:r>
      <w:proofErr w:type="gramEnd"/>
      <w:r>
        <w:t xml:space="preserve"> campo de pelota multiuso con césped artificial, además de un área de juegos infantiles y áreas recreativas pasivas. El Departamento de Parques estará a cargo </w:t>
      </w:r>
      <w:proofErr w:type="gramStart"/>
      <w:r>
        <w:t>del</w:t>
      </w:r>
      <w:proofErr w:type="gramEnd"/>
      <w:r>
        <w:t xml:space="preserve"> diseño del parque recreativo para garantizar</w:t>
      </w:r>
      <w:r>
        <w:t xml:space="preserve"> el cumplimiento de los estándares adecuados de diseño y las necesidades de las escuelas y la comunidad en general. El ECF y AvalonBay seguirán consultando la opinión del DPR, de la Junta Comunitaria 11, de la comunidad local y de las partes interesadas co</w:t>
      </w:r>
      <w:r>
        <w:t xml:space="preserve">n respecto al diseño del parque recreativo. Se espera que el parque tenga </w:t>
      </w:r>
      <w:proofErr w:type="gramStart"/>
      <w:r>
        <w:t>un</w:t>
      </w:r>
      <w:proofErr w:type="gramEnd"/>
      <w:r>
        <w:t xml:space="preserve"> área mejorada de césped artificial e instalaciones deportivas</w:t>
      </w:r>
      <w:r>
        <w:rPr>
          <w:spacing w:val="-16"/>
        </w:rPr>
        <w:t xml:space="preserve"> </w:t>
      </w:r>
      <w:r>
        <w:t>relacionadas.</w:t>
      </w:r>
    </w:p>
    <w:sectPr w:rsidR="00F00080">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4B03"/>
    <w:multiLevelType w:val="hybridMultilevel"/>
    <w:tmpl w:val="0DA8664C"/>
    <w:lvl w:ilvl="0" w:tplc="DD129E1C">
      <w:start w:val="1"/>
      <w:numFmt w:val="decimal"/>
      <w:lvlText w:val="%1."/>
      <w:lvlJc w:val="left"/>
      <w:pPr>
        <w:ind w:left="309" w:hanging="209"/>
        <w:jc w:val="left"/>
      </w:pPr>
      <w:rPr>
        <w:rFonts w:ascii="Calibri" w:eastAsia="Calibri" w:hAnsi="Calibri" w:cs="Calibri" w:hint="default"/>
        <w:w w:val="100"/>
        <w:sz w:val="21"/>
        <w:szCs w:val="21"/>
      </w:rPr>
    </w:lvl>
    <w:lvl w:ilvl="1" w:tplc="FE3268D6">
      <w:numFmt w:val="bullet"/>
      <w:lvlText w:val="•"/>
      <w:lvlJc w:val="left"/>
      <w:pPr>
        <w:ind w:left="1212" w:hanging="209"/>
      </w:pPr>
      <w:rPr>
        <w:rFonts w:hint="default"/>
      </w:rPr>
    </w:lvl>
    <w:lvl w:ilvl="2" w:tplc="78F4C73C">
      <w:numFmt w:val="bullet"/>
      <w:lvlText w:val="•"/>
      <w:lvlJc w:val="left"/>
      <w:pPr>
        <w:ind w:left="2124" w:hanging="209"/>
      </w:pPr>
      <w:rPr>
        <w:rFonts w:hint="default"/>
      </w:rPr>
    </w:lvl>
    <w:lvl w:ilvl="3" w:tplc="02F23A28">
      <w:numFmt w:val="bullet"/>
      <w:lvlText w:val="•"/>
      <w:lvlJc w:val="left"/>
      <w:pPr>
        <w:ind w:left="3036" w:hanging="209"/>
      </w:pPr>
      <w:rPr>
        <w:rFonts w:hint="default"/>
      </w:rPr>
    </w:lvl>
    <w:lvl w:ilvl="4" w:tplc="694CEAE0">
      <w:numFmt w:val="bullet"/>
      <w:lvlText w:val="•"/>
      <w:lvlJc w:val="left"/>
      <w:pPr>
        <w:ind w:left="3948" w:hanging="209"/>
      </w:pPr>
      <w:rPr>
        <w:rFonts w:hint="default"/>
      </w:rPr>
    </w:lvl>
    <w:lvl w:ilvl="5" w:tplc="104A3C1E">
      <w:numFmt w:val="bullet"/>
      <w:lvlText w:val="•"/>
      <w:lvlJc w:val="left"/>
      <w:pPr>
        <w:ind w:left="4860" w:hanging="209"/>
      </w:pPr>
      <w:rPr>
        <w:rFonts w:hint="default"/>
      </w:rPr>
    </w:lvl>
    <w:lvl w:ilvl="6" w:tplc="BEAA0CE0">
      <w:numFmt w:val="bullet"/>
      <w:lvlText w:val="•"/>
      <w:lvlJc w:val="left"/>
      <w:pPr>
        <w:ind w:left="5772" w:hanging="209"/>
      </w:pPr>
      <w:rPr>
        <w:rFonts w:hint="default"/>
      </w:rPr>
    </w:lvl>
    <w:lvl w:ilvl="7" w:tplc="702471B8">
      <w:numFmt w:val="bullet"/>
      <w:lvlText w:val="•"/>
      <w:lvlJc w:val="left"/>
      <w:pPr>
        <w:ind w:left="6684" w:hanging="209"/>
      </w:pPr>
      <w:rPr>
        <w:rFonts w:hint="default"/>
      </w:rPr>
    </w:lvl>
    <w:lvl w:ilvl="8" w:tplc="1D34976A">
      <w:numFmt w:val="bullet"/>
      <w:lvlText w:val="•"/>
      <w:lvlJc w:val="left"/>
      <w:pPr>
        <w:ind w:left="7596" w:hanging="209"/>
      </w:pPr>
      <w:rPr>
        <w:rFonts w:hint="default"/>
      </w:rPr>
    </w:lvl>
  </w:abstractNum>
  <w:abstractNum w:abstractNumId="1" w15:restartNumberingAfterBreak="0">
    <w:nsid w:val="12126B31"/>
    <w:multiLevelType w:val="hybridMultilevel"/>
    <w:tmpl w:val="27E26CD6"/>
    <w:lvl w:ilvl="0" w:tplc="D8002F10">
      <w:numFmt w:val="bullet"/>
      <w:lvlText w:val="●"/>
      <w:lvlJc w:val="left"/>
      <w:pPr>
        <w:ind w:left="100" w:hanging="176"/>
      </w:pPr>
      <w:rPr>
        <w:rFonts w:ascii="Calibri" w:eastAsia="Calibri" w:hAnsi="Calibri" w:cs="Calibri" w:hint="default"/>
        <w:w w:val="100"/>
        <w:sz w:val="21"/>
        <w:szCs w:val="21"/>
      </w:rPr>
    </w:lvl>
    <w:lvl w:ilvl="1" w:tplc="CEC4C2E6">
      <w:numFmt w:val="bullet"/>
      <w:lvlText w:val="•"/>
      <w:lvlJc w:val="left"/>
      <w:pPr>
        <w:ind w:left="1046" w:hanging="176"/>
      </w:pPr>
      <w:rPr>
        <w:rFonts w:hint="default"/>
      </w:rPr>
    </w:lvl>
    <w:lvl w:ilvl="2" w:tplc="9B720F66">
      <w:numFmt w:val="bullet"/>
      <w:lvlText w:val="•"/>
      <w:lvlJc w:val="left"/>
      <w:pPr>
        <w:ind w:left="1992" w:hanging="176"/>
      </w:pPr>
      <w:rPr>
        <w:rFonts w:hint="default"/>
      </w:rPr>
    </w:lvl>
    <w:lvl w:ilvl="3" w:tplc="190C2A6A">
      <w:numFmt w:val="bullet"/>
      <w:lvlText w:val="•"/>
      <w:lvlJc w:val="left"/>
      <w:pPr>
        <w:ind w:left="2938" w:hanging="176"/>
      </w:pPr>
      <w:rPr>
        <w:rFonts w:hint="default"/>
      </w:rPr>
    </w:lvl>
    <w:lvl w:ilvl="4" w:tplc="7BBA3612">
      <w:numFmt w:val="bullet"/>
      <w:lvlText w:val="•"/>
      <w:lvlJc w:val="left"/>
      <w:pPr>
        <w:ind w:left="3884" w:hanging="176"/>
      </w:pPr>
      <w:rPr>
        <w:rFonts w:hint="default"/>
      </w:rPr>
    </w:lvl>
    <w:lvl w:ilvl="5" w:tplc="B2307FB6">
      <w:numFmt w:val="bullet"/>
      <w:lvlText w:val="•"/>
      <w:lvlJc w:val="left"/>
      <w:pPr>
        <w:ind w:left="4830" w:hanging="176"/>
      </w:pPr>
      <w:rPr>
        <w:rFonts w:hint="default"/>
      </w:rPr>
    </w:lvl>
    <w:lvl w:ilvl="6" w:tplc="FA3C9BD4">
      <w:numFmt w:val="bullet"/>
      <w:lvlText w:val="•"/>
      <w:lvlJc w:val="left"/>
      <w:pPr>
        <w:ind w:left="5776" w:hanging="176"/>
      </w:pPr>
      <w:rPr>
        <w:rFonts w:hint="default"/>
      </w:rPr>
    </w:lvl>
    <w:lvl w:ilvl="7" w:tplc="8EC0C148">
      <w:numFmt w:val="bullet"/>
      <w:lvlText w:val="•"/>
      <w:lvlJc w:val="left"/>
      <w:pPr>
        <w:ind w:left="6722" w:hanging="176"/>
      </w:pPr>
      <w:rPr>
        <w:rFonts w:hint="default"/>
      </w:rPr>
    </w:lvl>
    <w:lvl w:ilvl="8" w:tplc="9DE842C4">
      <w:numFmt w:val="bullet"/>
      <w:lvlText w:val="•"/>
      <w:lvlJc w:val="left"/>
      <w:pPr>
        <w:ind w:left="7668" w:hanging="17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80"/>
    <w:rsid w:val="003A3B30"/>
    <w:rsid w:val="00782CED"/>
    <w:rsid w:val="00F0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4415"/>
  <w15:docId w15:val="{46A06C12-2307-40FB-B76A-906C4C3E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1"/>
      <w:szCs w:val="21"/>
    </w:rPr>
  </w:style>
  <w:style w:type="paragraph" w:styleId="Heading2">
    <w:name w:val="heading 2"/>
    <w:basedOn w:val="Normal"/>
    <w:next w:val="Normal"/>
    <w:link w:val="Heading2Char"/>
    <w:uiPriority w:val="9"/>
    <w:unhideWhenUsed/>
    <w:qFormat/>
    <w:rsid w:val="003A3B30"/>
    <w:pPr>
      <w:spacing w:line="259" w:lineRule="exact"/>
      <w:ind w:left="100"/>
      <w:outlineLvl w:val="1"/>
    </w:pPr>
    <w:rPr>
      <w:b/>
      <w:sz w:val="21"/>
    </w:rPr>
  </w:style>
  <w:style w:type="paragraph" w:styleId="Heading3">
    <w:name w:val="heading 3"/>
    <w:basedOn w:val="Normal"/>
    <w:next w:val="Normal"/>
    <w:link w:val="Heading3Char"/>
    <w:uiPriority w:val="9"/>
    <w:unhideWhenUsed/>
    <w:qFormat/>
    <w:rsid w:val="00782CED"/>
    <w:pPr>
      <w:spacing w:line="255" w:lineRule="exact"/>
      <w:ind w:left="100"/>
      <w:outlineLvl w:val="2"/>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0"/>
      <w:ind w:left="275" w:hanging="175"/>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3A3B30"/>
    <w:rPr>
      <w:rFonts w:ascii="Calibri" w:eastAsia="Calibri" w:hAnsi="Calibri" w:cs="Calibri"/>
      <w:b/>
      <w:sz w:val="21"/>
    </w:rPr>
  </w:style>
  <w:style w:type="character" w:customStyle="1" w:styleId="Heading3Char">
    <w:name w:val="Heading 3 Char"/>
    <w:basedOn w:val="DefaultParagraphFont"/>
    <w:link w:val="Heading3"/>
    <w:uiPriority w:val="9"/>
    <w:rsid w:val="00782CED"/>
    <w:rPr>
      <w:rFonts w:ascii="Calibri" w:eastAsia="Calibri" w:hAnsi="Calibri" w:cs="Calibri"/>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A54E5359BC645B454C87D6A2D045C" ma:contentTypeVersion="5" ma:contentTypeDescription="Create a new document." ma:contentTypeScope="" ma:versionID="7c5eea597eb9e3c66aee89236ffe05d0">
  <xsd:schema xmlns:xsd="http://www.w3.org/2001/XMLSchema" xmlns:xs="http://www.w3.org/2001/XMLSchema" xmlns:p="http://schemas.microsoft.com/office/2006/metadata/properties" xmlns:ns2="27d59704-28a6-4018-b4cb-84ae6e6d9a14" xmlns:ns3="09fba43a-6474-4f9b-8332-e8d0fe0a7762" targetNamespace="http://schemas.microsoft.com/office/2006/metadata/properties" ma:root="true" ma:fieldsID="0fb199dfccf293e8a4e0bf551b6e914e" ns2:_="" ns3:_="">
    <xsd:import namespace="27d59704-28a6-4018-b4cb-84ae6e6d9a14"/>
    <xsd:import namespace="09fba43a-6474-4f9b-8332-e8d0fe0a7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9704-28a6-4018-b4cb-84ae6e6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a43a-6474-4f9b-8332-e8d0fe0a7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3343B-D4DF-4CD5-94F8-4052A01AAC64}"/>
</file>

<file path=customXml/itemProps2.xml><?xml version="1.0" encoding="utf-8"?>
<ds:datastoreItem xmlns:ds="http://schemas.openxmlformats.org/officeDocument/2006/customXml" ds:itemID="{7E6403FE-1F0B-45B7-AE05-4960ABB1BED9}"/>
</file>

<file path=customXml/itemProps3.xml><?xml version="1.0" encoding="utf-8"?>
<ds:datastoreItem xmlns:ds="http://schemas.openxmlformats.org/officeDocument/2006/customXml" ds:itemID="{EA755B71-6714-439C-80C4-A1FB0FBAC0E4}"/>
</file>

<file path=docProps/app.xml><?xml version="1.0" encoding="utf-8"?>
<Properties xmlns="http://schemas.openxmlformats.org/officeDocument/2006/extended-properties" xmlns:vt="http://schemas.openxmlformats.org/officeDocument/2006/docPropsVTypes">
  <Template>Normal</Template>
  <TotalTime>8</TotalTime>
  <Pages>7</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Espildora Marcela</dc:creator>
  <cp:lastModifiedBy>Lora Memfis</cp:lastModifiedBy>
  <cp:revision>3</cp:revision>
  <dcterms:created xsi:type="dcterms:W3CDTF">2018-07-24T18:59:00Z</dcterms:created>
  <dcterms:modified xsi:type="dcterms:W3CDTF">2018-07-24T19:06:00Z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2013</vt:lpwstr>
  </property>
  <property fmtid="{D5CDD505-2E9C-101B-9397-08002B2CF9AE}" pid="4" name="LastSaved">
    <vt:filetime>2018-07-24T00:00:00Z</vt:filetime>
  </property>
  <property fmtid="{D5CDD505-2E9C-101B-9397-08002B2CF9AE}" pid="5" name="ContentTypeId">
    <vt:lpwstr>0x010100103A54E5359BC645B454C87D6A2D045C</vt:lpwstr>
  </property>
</Properties>
</file>