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335B" w14:textId="77777777" w:rsidR="00AE4A1C" w:rsidRDefault="00753216">
      <w:bookmarkStart w:id="0" w:name="_GoBack"/>
      <w:bookmarkEnd w:id="0"/>
      <w:r w:rsidRPr="00787AB0">
        <w:rPr>
          <w:noProof/>
          <w:sz w:val="14"/>
          <w:szCs w:val="14"/>
        </w:rPr>
        <w:drawing>
          <wp:inline distT="0" distB="0" distL="0" distR="0" wp14:anchorId="3B67A5CF" wp14:editId="1250C15B">
            <wp:extent cx="1428750" cy="857250"/>
            <wp:effectExtent l="0" t="0" r="0" b="0"/>
            <wp:docPr id="1" name="Picture 1" descr="DOE_Chancellor_color_vertical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_Chancellor_color_vertical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DF56" w14:textId="77777777" w:rsidR="00753216" w:rsidRDefault="00753216"/>
    <w:p w14:paraId="01C39F57" w14:textId="77777777" w:rsidR="00753216" w:rsidRPr="00753216" w:rsidRDefault="00753216" w:rsidP="00753216">
      <w:pPr>
        <w:pStyle w:val="Title"/>
        <w:pBdr>
          <w:bottom w:val="single" w:sz="4" w:space="1" w:color="4472C4" w:themeColor="accent5"/>
        </w:pBdr>
        <w:rPr>
          <w:b/>
        </w:rPr>
      </w:pPr>
      <w:r w:rsidRPr="00753216">
        <w:rPr>
          <w:b/>
          <w:sz w:val="40"/>
        </w:rPr>
        <w:t>Local Law 51- Reporting on student-to-student bullying, harassment, intimidation and discrimination</w:t>
      </w:r>
    </w:p>
    <w:p w14:paraId="48C48FD1" w14:textId="77777777" w:rsidR="00753216" w:rsidRDefault="00753216" w:rsidP="00753216"/>
    <w:p w14:paraId="37CE1C25" w14:textId="77777777" w:rsidR="00753216" w:rsidRPr="00753216" w:rsidRDefault="00753216" w:rsidP="00753216">
      <w:pPr>
        <w:rPr>
          <w:rFonts w:asciiTheme="majorHAnsi" w:hAnsiTheme="majorHAnsi"/>
          <w:sz w:val="24"/>
        </w:rPr>
      </w:pPr>
      <w:r w:rsidRPr="00753216">
        <w:rPr>
          <w:rFonts w:asciiTheme="majorHAnsi" w:hAnsiTheme="majorHAnsi"/>
          <w:sz w:val="24"/>
        </w:rPr>
        <w:t>Pursuant to Local Law 51 of 2018, the Department of Education is required to provide reports on student-to-student bullying, harassment, intimidation and discrimination twic</w:t>
      </w:r>
      <w:r w:rsidR="00B934FA">
        <w:rPr>
          <w:rFonts w:asciiTheme="majorHAnsi" w:hAnsiTheme="majorHAnsi"/>
          <w:sz w:val="24"/>
        </w:rPr>
        <w:t xml:space="preserve">e a year (May 31 and </w:t>
      </w:r>
      <w:r w:rsidR="007F74CB">
        <w:rPr>
          <w:rFonts w:asciiTheme="majorHAnsi" w:hAnsiTheme="majorHAnsi"/>
          <w:sz w:val="24"/>
        </w:rPr>
        <w:t>November 30</w:t>
      </w:r>
      <w:r w:rsidRPr="00753216">
        <w:rPr>
          <w:rFonts w:asciiTheme="majorHAnsi" w:hAnsiTheme="majorHAnsi"/>
          <w:sz w:val="24"/>
        </w:rPr>
        <w:t xml:space="preserve">).  Per the legislation and in accordance with the Family Educational Rights and Privacy Act (FERPA), any value from one (1) to five (5) has been redacted. </w:t>
      </w:r>
    </w:p>
    <w:tbl>
      <w:tblPr>
        <w:tblW w:w="6649" w:type="dxa"/>
        <w:jc w:val="center"/>
        <w:tblLook w:val="04A0" w:firstRow="1" w:lastRow="0" w:firstColumn="1" w:lastColumn="0" w:noHBand="0" w:noVBand="1"/>
      </w:tblPr>
      <w:tblGrid>
        <w:gridCol w:w="1035"/>
        <w:gridCol w:w="719"/>
        <w:gridCol w:w="719"/>
        <w:gridCol w:w="551"/>
        <w:gridCol w:w="551"/>
        <w:gridCol w:w="551"/>
        <w:gridCol w:w="491"/>
        <w:gridCol w:w="551"/>
        <w:gridCol w:w="551"/>
        <w:gridCol w:w="551"/>
        <w:gridCol w:w="491"/>
      </w:tblGrid>
      <w:tr w:rsidR="00B934FA" w:rsidRPr="00B934FA" w14:paraId="18ECFAFE" w14:textId="77777777" w:rsidTr="00752951">
        <w:trPr>
          <w:trHeight w:val="269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791A9267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ADMIN DISTRICT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0B6F66E4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1718 COMPLAINTS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4BCAFAD7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1718 MATERIAL INCIDENTS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4505E4EB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0E2BEAE8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ETHNICITY/NATIONL ORIGIN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45DF9076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RELIGION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2CB5D1F7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5644B510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24E319D4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GENDER IDENTITY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3762ACE3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SEXUAL ORIENTATION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5F8F5642" w14:textId="77777777" w:rsidR="00B934FA" w:rsidRPr="00B934FA" w:rsidRDefault="00B934FA" w:rsidP="00B9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DISABILITY</w:t>
            </w:r>
          </w:p>
        </w:tc>
      </w:tr>
      <w:tr w:rsidR="00B934FA" w:rsidRPr="00B934FA" w14:paraId="5A140C47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405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042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FC7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BA4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B18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2DF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E66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9B1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987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237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6D1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7DF274F1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73C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F1A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CA9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054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3E2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0AF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E41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683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79B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836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CE2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20FC0B17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127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5BE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3B2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34A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399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30A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06A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428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492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121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F94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100DA342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E76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E4D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2FB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8F7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56F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660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9B1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BF6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BA2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1FD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70D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35C22CBF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DB3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4B1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270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C1D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1DB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A95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F00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27C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614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77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62D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5C881C7D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7646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41E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33E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389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203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BC6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1D1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262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DEF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9A8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9BF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63D4FF33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09B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CB6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53C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1B4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B47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C14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AA0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BFF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909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327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0D3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1C89901C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29E8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961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4D3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098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46A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6C2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FB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F7A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46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DAF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9A4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7A052AC3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99E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4C1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266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929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7BC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61B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EDA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9B1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E4D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3FB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EBB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030D18E8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622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939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5F3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02B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027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77B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561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631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F55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0D3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74B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47E0F2E0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022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568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6EA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C3C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B3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8A4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A97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6A9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ACB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F45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054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129AED11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30B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946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113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C7C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9BE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A8A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462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8D2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BBF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4EB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A80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3158B477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FB2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043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54B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E1E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F4B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3CE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CEF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E4C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1EA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B24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1DD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41D1DC16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565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873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A29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613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32D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EEC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9C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3C8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C67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173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116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45BD1261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3E6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507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C59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220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3CE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CD7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675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D8D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6E3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4A6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7A5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7C128574" w14:textId="77777777" w:rsidTr="00752951">
        <w:trPr>
          <w:trHeight w:val="278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0176E49D" w14:textId="77777777" w:rsidR="00B934FA" w:rsidRPr="00B934FA" w:rsidRDefault="00B934FA" w:rsidP="002D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ADMIN DISTRICT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492D188D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1718 COMPLAINTS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6213B7EE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1718 MATERIAL INCIDENTS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2984218B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4D07A38B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ETHNICITY/NATIONL ORIGIN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3919E15D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RELIGION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30E78CC5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3E102F31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0DEF4B89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GENDER IDENTITY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30318D5A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SEXUAL ORIENTATION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textDirection w:val="btLr"/>
            <w:vAlign w:val="bottom"/>
            <w:hideMark/>
          </w:tcPr>
          <w:p w14:paraId="78089394" w14:textId="77777777" w:rsidR="00B934FA" w:rsidRPr="00B934FA" w:rsidRDefault="00B934FA" w:rsidP="002D5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DISABILITY</w:t>
            </w:r>
          </w:p>
        </w:tc>
      </w:tr>
      <w:tr w:rsidR="00B934FA" w:rsidRPr="00B934FA" w14:paraId="02562241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A89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FC4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EA6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D98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9F0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DC1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34F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E76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484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D0E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C51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5B8F9948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B81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1DE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0AA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792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5D2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AF0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B3B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8B7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093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B39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867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2C4C994C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F24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15B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7B1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413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6C2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6B6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55D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EF0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603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102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3AE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3F877BDB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48D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D3D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451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F58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F1E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8ED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09C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D7B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491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BC2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812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47403C39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899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CFD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E79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2AC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D4F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B19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08B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B2F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665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9D3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858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390849F5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8C2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49F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022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F94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C69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885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75D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1CF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F15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817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3FD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934FA" w:rsidRPr="00B934FA" w14:paraId="0F6ED184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0B6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9E6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259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D63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088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B36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80B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922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A9C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C3B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BC9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51B160AB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7FCF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ED4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CF2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F50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4DA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F5B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AB0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DA5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A2C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8DF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0A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376757BD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414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129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78C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4D5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2E1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061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A93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16D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25F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A29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1558B5BD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6F1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07C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468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E44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C1A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E42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19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C2E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DA9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391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C7F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59A57317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711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7B8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547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271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1FE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C18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2A8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A35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A3A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8C4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D82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7F62AF71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287A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921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021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A52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055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ABB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B3F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04A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F57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3B3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E0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934FA" w:rsidRPr="00B934FA" w14:paraId="0A50A29B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4FF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005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580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EEC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84D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B37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3B1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DCA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FEF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F1D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795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6529D7B5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22A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A56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C8E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AB5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303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CC0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D90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A8C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E20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38A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402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6067B3D2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5CC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DAD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8E7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65C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BCB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44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6D6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FE8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A4F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4D5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A46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32B64737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62B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422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DDC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448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BBD9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2E4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275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34B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DB0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6C9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8B5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934FA" w:rsidRPr="00B934FA" w14:paraId="046EFED9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9F1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77A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F95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7CF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E632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FD8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1D6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C25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E14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A66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B08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934FA" w:rsidRPr="00B934FA" w14:paraId="2014B54F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458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1F9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087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C02D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523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057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237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240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242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915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475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799772E6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B18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57EE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01A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1D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CA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FC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17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C5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99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44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3C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64F6D3F6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DA44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2E28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8AF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4A0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DB76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023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518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147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0FD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737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21A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4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4FA" w:rsidRPr="00B934FA" w14:paraId="3B5D300E" w14:textId="77777777" w:rsidTr="00B934FA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center"/>
            <w:hideMark/>
          </w:tcPr>
          <w:p w14:paraId="6C2E603A" w14:textId="77777777" w:rsidR="00B934FA" w:rsidRPr="00B934FA" w:rsidRDefault="00B934FA" w:rsidP="00B9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4A2E856F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7F74C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902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75C1D09B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7F74C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024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276CCFFC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366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1473ABD3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349376C0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183F66F7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535DC295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222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4EFEB874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1CF70A51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2F2F2"/>
            <w:vAlign w:val="bottom"/>
            <w:hideMark/>
          </w:tcPr>
          <w:p w14:paraId="4C53868A" w14:textId="77777777" w:rsidR="00B934FA" w:rsidRPr="00B934FA" w:rsidRDefault="00B934FA" w:rsidP="00B93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FA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</w:tr>
    </w:tbl>
    <w:p w14:paraId="01094D5A" w14:textId="77777777" w:rsidR="00753216" w:rsidRDefault="00753216" w:rsidP="00753216">
      <w:pPr>
        <w:rPr>
          <w:rFonts w:asciiTheme="majorHAnsi" w:hAnsiTheme="majorHAnsi"/>
          <w:sz w:val="24"/>
        </w:rPr>
      </w:pPr>
    </w:p>
    <w:p w14:paraId="5CE91504" w14:textId="5D4FF0C3" w:rsidR="00753216" w:rsidRDefault="00AA1203" w:rsidP="00AA1203">
      <w:pPr>
        <w:pStyle w:val="Heading1"/>
      </w:pPr>
      <w:r w:rsidRPr="00AA1203">
        <w:t>Resources and supports to schools</w:t>
      </w:r>
    </w:p>
    <w:p w14:paraId="5ED45D34" w14:textId="06CE8F06" w:rsidR="00AE7CE0" w:rsidRPr="00AE7CE0" w:rsidRDefault="00AE7CE0">
      <w:pPr>
        <w:pPrChange w:id="1" w:author="Barbot Miranda" w:date="2018-11-30T10:10:00Z">
          <w:pPr>
            <w:pStyle w:val="Heading1"/>
          </w:pPr>
        </w:pPrChange>
      </w:pPr>
      <w:r w:rsidRPr="00827AE4">
        <w:t>Last year, the city committed to $8 million in initiatives specifically targeted at addressing bullying, including an electronic Bullying Complaint Portal</w:t>
      </w:r>
      <w:r>
        <w:t>,</w:t>
      </w:r>
      <w:r w:rsidRPr="00827AE4">
        <w:t xml:space="preserve"> workshops, trainings, and targeted school-based supports. This work is complemented by the city’s $47 million annual investment in school resources and mental health supports, and is further supported by a $23 million investment in anti-bias training for all staff. </w:t>
      </w:r>
    </w:p>
    <w:p w14:paraId="2022234C" w14:textId="77777777" w:rsidR="00AA1203" w:rsidRPr="00AA1203" w:rsidRDefault="00AA1203" w:rsidP="00827AE4">
      <w:pPr>
        <w:pStyle w:val="ListParagraph"/>
        <w:numPr>
          <w:ilvl w:val="0"/>
          <w:numId w:val="1"/>
        </w:numPr>
      </w:pPr>
      <w:r w:rsidRPr="00AA1203">
        <w:t xml:space="preserve">Anti-bullying training modules for supportive and inclusive learning environments for all school staff. </w:t>
      </w:r>
    </w:p>
    <w:p w14:paraId="58B0EF34" w14:textId="77777777" w:rsidR="00AA1203" w:rsidRPr="00AA1203" w:rsidRDefault="00AA1203" w:rsidP="00AA1203">
      <w:pPr>
        <w:pStyle w:val="ListParagraph"/>
        <w:numPr>
          <w:ilvl w:val="0"/>
          <w:numId w:val="1"/>
        </w:numPr>
      </w:pPr>
      <w:r w:rsidRPr="00AA1203">
        <w:lastRenderedPageBreak/>
        <w:t xml:space="preserve">Respect for All (RFA) conversations: online training tool available to all school staff and administrators to develop best practices on maintaining safe and inclusive learning environments. </w:t>
      </w:r>
    </w:p>
    <w:p w14:paraId="16D57A81" w14:textId="77777777" w:rsidR="00AA1203" w:rsidRPr="00AA1203" w:rsidRDefault="00AA1203" w:rsidP="00AA1203">
      <w:pPr>
        <w:pStyle w:val="ListParagraph"/>
        <w:numPr>
          <w:ilvl w:val="0"/>
          <w:numId w:val="1"/>
        </w:numPr>
      </w:pPr>
      <w:r w:rsidRPr="00AA1203">
        <w:t>District – wide restorative practices in four districts (District 5, 12, 16 and 18)</w:t>
      </w:r>
    </w:p>
    <w:p w14:paraId="16C96DD3" w14:textId="77777777" w:rsidR="00AA1203" w:rsidRPr="00AA1203" w:rsidRDefault="00AA1203" w:rsidP="00AA1203">
      <w:pPr>
        <w:pStyle w:val="ListParagraph"/>
        <w:numPr>
          <w:ilvl w:val="0"/>
          <w:numId w:val="1"/>
        </w:numPr>
      </w:pPr>
      <w:r w:rsidRPr="00AA1203">
        <w:t>Targeted social – emotional support for 300 middle and high schools</w:t>
      </w:r>
    </w:p>
    <w:p w14:paraId="4886EBA7" w14:textId="77777777" w:rsidR="00AA1203" w:rsidRPr="00AA1203" w:rsidRDefault="00AA1203" w:rsidP="00AA1203">
      <w:pPr>
        <w:pStyle w:val="ListParagraph"/>
        <w:numPr>
          <w:ilvl w:val="0"/>
          <w:numId w:val="1"/>
        </w:numPr>
      </w:pPr>
      <w:r w:rsidRPr="00AA1203">
        <w:t>Trainings such as Fostering Respect for All by Empowering Students from Bystanders to Allies</w:t>
      </w:r>
    </w:p>
    <w:p w14:paraId="7B0B41C0" w14:textId="77777777" w:rsidR="00AA1203" w:rsidRDefault="00AA1203" w:rsidP="00AA1203">
      <w:pPr>
        <w:pStyle w:val="ListParagraph"/>
        <w:numPr>
          <w:ilvl w:val="0"/>
          <w:numId w:val="1"/>
        </w:numPr>
      </w:pPr>
      <w:r w:rsidRPr="00AA1203">
        <w:t>Implicit bias and culturally responsive practices training</w:t>
      </w:r>
    </w:p>
    <w:p w14:paraId="79E66C04" w14:textId="77777777" w:rsidR="00645717" w:rsidRDefault="00645717" w:rsidP="00AA1203">
      <w:pPr>
        <w:pStyle w:val="ListParagraph"/>
        <w:numPr>
          <w:ilvl w:val="0"/>
          <w:numId w:val="1"/>
        </w:numPr>
      </w:pPr>
      <w:r>
        <w:t xml:space="preserve">FSC has at least one dedicated School Climate Manager responsible for supporting schools with bullying allegations, classroom management, developing and sustaining systems to ensure a positive school environment. </w:t>
      </w:r>
    </w:p>
    <w:p w14:paraId="17CACCAB" w14:textId="77777777" w:rsidR="00645717" w:rsidRDefault="00645717" w:rsidP="00AA1203">
      <w:pPr>
        <w:pStyle w:val="ListParagraph"/>
        <w:numPr>
          <w:ilvl w:val="0"/>
          <w:numId w:val="1"/>
        </w:numPr>
      </w:pPr>
      <w:r>
        <w:t>Offer trainings on confronting bias</w:t>
      </w:r>
    </w:p>
    <w:p w14:paraId="5A1A6F4C" w14:textId="77777777" w:rsidR="00AA1203" w:rsidRDefault="00AA1203" w:rsidP="00AA1203">
      <w:pPr>
        <w:pStyle w:val="Heading1"/>
      </w:pPr>
      <w:r>
        <w:t>Description of Trends Reflected in Data Reported</w:t>
      </w:r>
    </w:p>
    <w:p w14:paraId="432C92C5" w14:textId="77777777" w:rsidR="00AA1203" w:rsidRDefault="0023213E" w:rsidP="0023213E">
      <w:pPr>
        <w:pStyle w:val="ListParagraph"/>
        <w:numPr>
          <w:ilvl w:val="0"/>
          <w:numId w:val="2"/>
        </w:numPr>
      </w:pPr>
      <w:r w:rsidRPr="0023213E">
        <w:t>Out of all complaints, 26% were for high schools, 26% were elementary, 25% were for middle schools, and 13% were for K-8.</w:t>
      </w:r>
    </w:p>
    <w:p w14:paraId="20077971" w14:textId="77777777" w:rsidR="0023213E" w:rsidRDefault="0023213E" w:rsidP="0023213E">
      <w:pPr>
        <w:pStyle w:val="ListParagraph"/>
        <w:numPr>
          <w:ilvl w:val="0"/>
          <w:numId w:val="2"/>
        </w:numPr>
      </w:pPr>
      <w:r w:rsidRPr="0023213E">
        <w:t>Of all material incidents, 28% were for high schools, 28% were for middle schools, 21% were for elementary schools, and 13% were for K-8 schools.</w:t>
      </w:r>
    </w:p>
    <w:p w14:paraId="59CAB0C7" w14:textId="77777777" w:rsidR="0023213E" w:rsidRPr="0023213E" w:rsidRDefault="0023213E" w:rsidP="0023213E">
      <w:pPr>
        <w:pStyle w:val="ListParagraph"/>
        <w:numPr>
          <w:ilvl w:val="0"/>
          <w:numId w:val="2"/>
        </w:numPr>
      </w:pPr>
      <w:r w:rsidRPr="0023213E">
        <w:t>Out of all incidents that were bias-related, only 21% occurred in high schools.</w:t>
      </w:r>
    </w:p>
    <w:p w14:paraId="6E73E790" w14:textId="77777777" w:rsidR="002B6973" w:rsidRDefault="002B6973" w:rsidP="002B6973">
      <w:pPr>
        <w:pStyle w:val="Heading1"/>
      </w:pPr>
      <w:r>
        <w:t>Schools who completed training pursuant to Chancellor’s Regulation A-832</w:t>
      </w:r>
    </w:p>
    <w:p w14:paraId="6F877A31" w14:textId="77777777" w:rsidR="002B6973" w:rsidRPr="002B6973" w:rsidRDefault="000C7A83" w:rsidP="000C7A83">
      <w:pPr>
        <w:pStyle w:val="ListParagraph"/>
        <w:numPr>
          <w:ilvl w:val="0"/>
          <w:numId w:val="2"/>
        </w:numPr>
      </w:pPr>
      <w:r>
        <w:t xml:space="preserve">All principals have confirmed in their consolidated plan that training required pursuant to Chancellor’s Regulation A-832 was completed for SY18-19. </w:t>
      </w:r>
      <w:r w:rsidR="002B6973">
        <w:t xml:space="preserve"> </w:t>
      </w:r>
    </w:p>
    <w:sectPr w:rsidR="002B6973" w:rsidRPr="002B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098"/>
    <w:multiLevelType w:val="hybridMultilevel"/>
    <w:tmpl w:val="202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23C1"/>
    <w:multiLevelType w:val="hybridMultilevel"/>
    <w:tmpl w:val="42EE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t Miranda">
    <w15:presenceInfo w15:providerId="AD" w15:userId="S-1-5-21-756204042-1246811783-1072919933-823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16"/>
    <w:rsid w:val="000C7A83"/>
    <w:rsid w:val="000E295B"/>
    <w:rsid w:val="0023213E"/>
    <w:rsid w:val="002B6973"/>
    <w:rsid w:val="00331495"/>
    <w:rsid w:val="004A2363"/>
    <w:rsid w:val="004F65DB"/>
    <w:rsid w:val="00640126"/>
    <w:rsid w:val="00645717"/>
    <w:rsid w:val="00710742"/>
    <w:rsid w:val="00752951"/>
    <w:rsid w:val="00753216"/>
    <w:rsid w:val="007F74CB"/>
    <w:rsid w:val="00827AE4"/>
    <w:rsid w:val="008E34CC"/>
    <w:rsid w:val="00AA1203"/>
    <w:rsid w:val="00AE4A1C"/>
    <w:rsid w:val="00AE7CE0"/>
    <w:rsid w:val="00B172B2"/>
    <w:rsid w:val="00B40937"/>
    <w:rsid w:val="00B50A81"/>
    <w:rsid w:val="00B934FA"/>
    <w:rsid w:val="00B943E2"/>
    <w:rsid w:val="00C1481D"/>
    <w:rsid w:val="00C57DB2"/>
    <w:rsid w:val="00F85A3E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482B"/>
  <w15:chartTrackingRefBased/>
  <w15:docId w15:val="{E06AAAD4-38BC-491F-BDB7-35A66A2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F85A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A3E"/>
    <w:rPr>
      <w:color w:val="954F72"/>
      <w:u w:val="single"/>
    </w:rPr>
  </w:style>
  <w:style w:type="paragraph" w:customStyle="1" w:styleId="msonormal0">
    <w:name w:val="msonormal"/>
    <w:basedOn w:val="Normal"/>
    <w:rsid w:val="00F8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85A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85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85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8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8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85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85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85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85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85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1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1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A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Gina</dc:creator>
  <cp:keywords/>
  <dc:description/>
  <cp:lastModifiedBy>DiNapoli Michael</cp:lastModifiedBy>
  <cp:revision>2</cp:revision>
  <cp:lastPrinted>2018-11-27T15:48:00Z</cp:lastPrinted>
  <dcterms:created xsi:type="dcterms:W3CDTF">2018-11-30T18:10:00Z</dcterms:created>
  <dcterms:modified xsi:type="dcterms:W3CDTF">2018-11-30T18:10:00Z</dcterms:modified>
</cp:coreProperties>
</file>